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5D842" w14:textId="5228B9FA" w:rsidR="00BB151E" w:rsidRPr="008A3A23" w:rsidRDefault="00F333A4">
      <w:pPr>
        <w:rPr>
          <w:b/>
          <w:bCs/>
        </w:rPr>
      </w:pPr>
      <w:r>
        <w:rPr>
          <w:b/>
          <w:bCs/>
        </w:rPr>
        <w:t>Deweloperzy budują tyle co przed rokiem</w:t>
      </w:r>
    </w:p>
    <w:p w14:paraId="23484605" w14:textId="489E023E" w:rsidR="008A3A23" w:rsidRDefault="00DE31F0" w:rsidP="00F333A4">
      <w:pPr>
        <w:rPr>
          <w:b/>
          <w:bCs/>
        </w:rPr>
      </w:pPr>
      <w:r>
        <w:rPr>
          <w:b/>
          <w:bCs/>
        </w:rPr>
        <w:t xml:space="preserve">To najpewniej spory popyt na mieszkania powoduje, że </w:t>
      </w:r>
      <w:r w:rsidR="00F333A4">
        <w:rPr>
          <w:b/>
          <w:bCs/>
        </w:rPr>
        <w:t xml:space="preserve">deweloperzy </w:t>
      </w:r>
      <w:r>
        <w:rPr>
          <w:b/>
          <w:bCs/>
        </w:rPr>
        <w:t xml:space="preserve">znowu </w:t>
      </w:r>
      <w:r w:rsidR="00F333A4">
        <w:rPr>
          <w:b/>
          <w:bCs/>
        </w:rPr>
        <w:t xml:space="preserve">muszą rozpoczynać dużo nowych inwestycji. W efekcie </w:t>
      </w:r>
      <w:r>
        <w:rPr>
          <w:b/>
          <w:bCs/>
        </w:rPr>
        <w:t xml:space="preserve">w sierpniu wystartowało tyle projektów co </w:t>
      </w:r>
      <w:r w:rsidR="00F333A4">
        <w:rPr>
          <w:b/>
          <w:bCs/>
        </w:rPr>
        <w:t xml:space="preserve">przed rokiem. </w:t>
      </w:r>
      <w:r>
        <w:rPr>
          <w:b/>
          <w:bCs/>
        </w:rPr>
        <w:t>W mieszkaniach Polacy upatrują bezpiecznej przystani dla kapitału, a trend ten wzmacniają rekordowo niskie stopy procentowe, czyli tanie kredyty i niemal nieoprocentowane lokaty</w:t>
      </w:r>
      <w:r w:rsidR="00F333A4">
        <w:rPr>
          <w:b/>
          <w:bCs/>
        </w:rPr>
        <w:t>.</w:t>
      </w:r>
    </w:p>
    <w:p w14:paraId="0A7CC3E9" w14:textId="64AE4B77" w:rsidR="00E727E5" w:rsidRDefault="001A6538" w:rsidP="008A3A23">
      <w:r>
        <w:t xml:space="preserve">Deweloperzy kolejny miesiąc mogą zaliczyć do udanych. Szczególnie dobrą wiadomością może być liczba noworozpoczynanych projektów. W ich ramach wystartowały budowy prawie 11 tysięcy nowych mieszkań. Jest to wynik niemal taki sam jak przed rokiem. Informacje te mogą sugerować, że </w:t>
      </w:r>
      <w:r w:rsidR="002C1476">
        <w:t>w biurach sprzedaży deweloperów nie brakuje kupujących. Na pierwsze twarde dane, które będą mogły potwierdzić to przypuszczenie</w:t>
      </w:r>
      <w:r w:rsidR="0012472F">
        <w:t>,</w:t>
      </w:r>
      <w:r w:rsidR="002C1476">
        <w:t xml:space="preserve"> poczekamy jeszcze 2-3 tygodnie. Póki co taki rozwój wydarzeń potwierdza nie tylko skłonność deweloperów do uruchamiania nowych inwestycji, ale też ruch w internecie. </w:t>
      </w:r>
      <w:r>
        <w:rPr>
          <w:noProof/>
        </w:rPr>
        <w:drawing>
          <wp:inline distT="0" distB="0" distL="0" distR="0" wp14:anchorId="1E8E6457" wp14:editId="1D0922A9">
            <wp:extent cx="5760720" cy="3775075"/>
            <wp:effectExtent l="0" t="0" r="0" b="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600B6C49-3188-4104-92DE-A4D733B907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A006CEC" w14:textId="6E3DAF1C" w:rsidR="00FD2D55" w:rsidRPr="00FD2D55" w:rsidRDefault="00FD2D55" w:rsidP="003274BB">
      <w:pPr>
        <w:rPr>
          <w:b/>
          <w:bCs/>
        </w:rPr>
      </w:pPr>
      <w:r w:rsidRPr="00FD2D55">
        <w:rPr>
          <w:b/>
          <w:bCs/>
        </w:rPr>
        <w:t>Otoczenie wspiera mieszkania</w:t>
      </w:r>
    </w:p>
    <w:p w14:paraId="5B5D7628" w14:textId="2575E497" w:rsidR="00BF4FB2" w:rsidRDefault="003274BB" w:rsidP="003274BB">
      <w:r>
        <w:t xml:space="preserve">Z tego </w:t>
      </w:r>
      <w:r w:rsidR="0012472F">
        <w:t xml:space="preserve">drugiego </w:t>
      </w:r>
      <w:r>
        <w:t xml:space="preserve">wynika, że po pierwszym uderzeniu epidemii zainteresowanie mieszkaniami w dużych miastach szybko się odbudowało. </w:t>
      </w:r>
      <w:r w:rsidR="00BF4FB2">
        <w:t xml:space="preserve">Jeszcze w </w:t>
      </w:r>
      <w:r>
        <w:t>lipcu</w:t>
      </w:r>
      <w:r w:rsidR="00BF4FB2">
        <w:t xml:space="preserve"> było ono trochę niższe niż w analogicznym okresie przed rokiem, ale już dane za sierpień i wrzesień dają nadzieję na poprawę zeszłorocznych wyników. </w:t>
      </w:r>
    </w:p>
    <w:p w14:paraId="0E320C59" w14:textId="34B84736" w:rsidR="009B76AF" w:rsidRDefault="003274BB" w:rsidP="003274BB">
      <w:r>
        <w:t>Powody</w:t>
      </w:r>
      <w:r w:rsidR="00BF4FB2">
        <w:t>?</w:t>
      </w:r>
      <w:r>
        <w:t xml:space="preserve"> W niepewnych czasach wiele osób zwraca się w kierunku rynku mieszkaniowego widząc w nim bezpieczną p</w:t>
      </w:r>
      <w:r w:rsidR="003324CC">
        <w:t>r</w:t>
      </w:r>
      <w:r>
        <w:t>zystań dla kapitału. I choć teraz wynajem mieszkań jest biznesem trudniejszym niż przed rokiem, to wciąż wizja</w:t>
      </w:r>
      <w:r w:rsidR="0012472F">
        <w:t xml:space="preserve"> rocznego</w:t>
      </w:r>
      <w:r>
        <w:t xml:space="preserve"> zarobku odpowiadające</w:t>
      </w:r>
      <w:r w:rsidR="0012472F">
        <w:t>go</w:t>
      </w:r>
      <w:r>
        <w:t xml:space="preserve"> 4% wartości nieruchomości wiele o</w:t>
      </w:r>
      <w:r w:rsidR="003324CC">
        <w:t>s</w:t>
      </w:r>
      <w:r>
        <w:t xml:space="preserve">ób może kusić. Gdy do tego dodamy </w:t>
      </w:r>
      <w:r w:rsidR="0012472F">
        <w:t>historię, która (inflacja)</w:t>
      </w:r>
      <w:r>
        <w:t xml:space="preserve">, to </w:t>
      </w:r>
      <w:r w:rsidR="0012472F">
        <w:t>otrzy</w:t>
      </w:r>
      <w:r>
        <w:t xml:space="preserve">mamy prosty przepis na wzrost zainteresowania mieszkaniami. </w:t>
      </w:r>
    </w:p>
    <w:p w14:paraId="6F750A3B" w14:textId="7CAE9948" w:rsidR="003274BB" w:rsidRDefault="003274BB" w:rsidP="003274BB">
      <w:r>
        <w:t xml:space="preserve">Trend ten jest dodatkowo wzmacniany niskimi stopami procentowymi. Te skutkują niskim oprocentowaniem kredytów i tylko fakt, że banki bardzo </w:t>
      </w:r>
      <w:r w:rsidR="009B76AF">
        <w:t>rygorystycznie</w:t>
      </w:r>
      <w:r>
        <w:t xml:space="preserve"> podchodzą do udzielania </w:t>
      </w:r>
      <w:r>
        <w:lastRenderedPageBreak/>
        <w:t xml:space="preserve">takich kredytów chłodzi potencjalny popyt na mieszkania. Z drugiej jednak strony niemal zerowe stopy procentowe powodują też, że </w:t>
      </w:r>
      <w:r w:rsidR="00862F8C">
        <w:t xml:space="preserve">bliskie zeru jest przeciętne oprocentowanie lokat bankowych. Dla wielu posiadaczy depozytów, którzy przy okazji </w:t>
      </w:r>
      <w:r w:rsidR="009B76AF">
        <w:t>odnawiania</w:t>
      </w:r>
      <w:r w:rsidR="00862F8C">
        <w:t xml:space="preserve"> lokat zderzają się z najgorszą ich </w:t>
      </w:r>
      <w:r w:rsidR="0012472F">
        <w:t>ofertą</w:t>
      </w:r>
      <w:r w:rsidR="009B76AF">
        <w:t xml:space="preserve"> </w:t>
      </w:r>
      <w:r w:rsidR="00862F8C">
        <w:t xml:space="preserve">w historii, mogą dziś rozważać zakup nieruchomości na wynajem. </w:t>
      </w:r>
    </w:p>
    <w:p w14:paraId="78167CC8" w14:textId="6D9D85C3" w:rsidR="003274BB" w:rsidRDefault="00862F8C" w:rsidP="003274BB">
      <w:r>
        <w:rPr>
          <w:noProof/>
        </w:rPr>
        <w:drawing>
          <wp:inline distT="0" distB="0" distL="0" distR="0" wp14:anchorId="4F2189BE" wp14:editId="67BA35E7">
            <wp:extent cx="5760720" cy="3903980"/>
            <wp:effectExtent l="0" t="0" r="0" b="1270"/>
            <wp:docPr id="7" name="Wykres 7">
              <a:extLst xmlns:a="http://schemas.openxmlformats.org/drawingml/2006/main">
                <a:ext uri="{FF2B5EF4-FFF2-40B4-BE49-F238E27FC236}">
                  <a16:creationId xmlns:a16="http://schemas.microsoft.com/office/drawing/2014/main" id="{2400D158-D17D-4A06-BF9E-210BA9CF4D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A0AD0D9" w14:textId="003A4B84" w:rsidR="009B76AF" w:rsidRPr="009B76AF" w:rsidRDefault="009B76AF" w:rsidP="008A3A23">
      <w:pPr>
        <w:rPr>
          <w:b/>
          <w:bCs/>
        </w:rPr>
      </w:pPr>
      <w:r w:rsidRPr="009B76AF">
        <w:rPr>
          <w:b/>
          <w:bCs/>
        </w:rPr>
        <w:t>Mniej pozwoleń i sierpień gorszy od lipca</w:t>
      </w:r>
    </w:p>
    <w:p w14:paraId="487663D3" w14:textId="72162857" w:rsidR="003274BB" w:rsidRDefault="003274BB" w:rsidP="008A3A23">
      <w:r>
        <w:t xml:space="preserve">Aby jednak nie było tak kolorowo musimy też odnotować niepokojące informacje płynące z najnowszej publikacji urzędu statystycznego. </w:t>
      </w:r>
      <w:r w:rsidR="009B76AF">
        <w:t xml:space="preserve">I tak porównując dane o dokonaniach deweloperów warto zwrócić uwagę na spadek liczby pozwoleń na budowę względem analogicznego okresu przed rokiem. W tym wypadku erozja o 11,7% jest niepokojąca, ale są to dane na tyle zmienne, że z łatwością mogą być jeszcze odrobione w kolejnych miesiącach. </w:t>
      </w:r>
    </w:p>
    <w:p w14:paraId="2AA7D287" w14:textId="57B515F1" w:rsidR="009B76AF" w:rsidRPr="003274BB" w:rsidRDefault="009B76AF" w:rsidP="008A3A23">
      <w:r>
        <w:t>Szczyptę pesymizmu znajdziemy też w danych GUS w ujęciu miesiąc do miesiąca (m/m). Porównujemy w nich sierpniowe dokonania deweloperów do tych z lipca. W tym wypadku mamy do czynienia z wyraźnymi spadkami w każdym z badanych obszarów (</w:t>
      </w:r>
      <w:r w:rsidR="00EC6928">
        <w:t>mieszkania</w:t>
      </w:r>
      <w:r>
        <w:t xml:space="preserve"> oddane do użytkowania, rozpoczęte budowy i wydane pozwolenia). </w:t>
      </w:r>
      <w:r w:rsidR="0012472F">
        <w:t>G</w:t>
      </w:r>
      <w:r>
        <w:t xml:space="preserve">orsze dane </w:t>
      </w:r>
      <w:r w:rsidR="0012472F">
        <w:t xml:space="preserve">mogą wynikać z </w:t>
      </w:r>
      <w:r>
        <w:t xml:space="preserve">zawirowań </w:t>
      </w:r>
      <w:r w:rsidR="00EC6928">
        <w:t>administracyjnych</w:t>
      </w:r>
      <w:r>
        <w:t xml:space="preserve">. Chodzi o to, że w wyniku epidemii </w:t>
      </w:r>
      <w:r w:rsidR="00D22B76">
        <w:t xml:space="preserve">sparaliżowana została praca urzędów wydających decyzje o pozwoleniu na budowę czy oddaniu do użytkowania. </w:t>
      </w:r>
      <w:r w:rsidR="00EA76D2">
        <w:t xml:space="preserve">Potem mieliśmy do czynienia z ich odmrożeniem i wysypem zaległych decyzji, a teraz sytuacja może wracać do normy. </w:t>
      </w:r>
    </w:p>
    <w:p w14:paraId="3AEE9FCB" w14:textId="6BD8CE9E" w:rsidR="003274BB" w:rsidRPr="003274BB" w:rsidRDefault="00EC6928" w:rsidP="008A3A23">
      <w:r>
        <w:rPr>
          <w:noProof/>
        </w:rPr>
        <w:lastRenderedPageBreak/>
        <w:drawing>
          <wp:inline distT="0" distB="0" distL="0" distR="0" wp14:anchorId="777B610E" wp14:editId="1398EAC4">
            <wp:extent cx="5760720" cy="3775075"/>
            <wp:effectExtent l="0" t="0" r="0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439FFCE8-F30B-4CE4-9C53-49153F9EC3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FC7BD90" w14:textId="334958CA" w:rsidR="008A3A23" w:rsidRDefault="00EC6928" w:rsidP="008A3A23">
      <w:r>
        <w:t>B</w:t>
      </w:r>
      <w:r w:rsidR="001D0092">
        <w:t>artosz Turek, główny analityk HRE Investment</w:t>
      </w:r>
    </w:p>
    <w:sectPr w:rsidR="008A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23"/>
    <w:rsid w:val="00006490"/>
    <w:rsid w:val="0012472F"/>
    <w:rsid w:val="001A6538"/>
    <w:rsid w:val="001D0092"/>
    <w:rsid w:val="002133FC"/>
    <w:rsid w:val="002C1476"/>
    <w:rsid w:val="003225E8"/>
    <w:rsid w:val="003274BB"/>
    <w:rsid w:val="003324CC"/>
    <w:rsid w:val="00334F2E"/>
    <w:rsid w:val="003723CC"/>
    <w:rsid w:val="00422953"/>
    <w:rsid w:val="004D5313"/>
    <w:rsid w:val="0055574F"/>
    <w:rsid w:val="00720287"/>
    <w:rsid w:val="00733EE7"/>
    <w:rsid w:val="00751D3C"/>
    <w:rsid w:val="00790221"/>
    <w:rsid w:val="00862F8C"/>
    <w:rsid w:val="00885AF4"/>
    <w:rsid w:val="00897205"/>
    <w:rsid w:val="008A3A23"/>
    <w:rsid w:val="008B27AE"/>
    <w:rsid w:val="00955A73"/>
    <w:rsid w:val="009B76AF"/>
    <w:rsid w:val="00BB151E"/>
    <w:rsid w:val="00BF4FB2"/>
    <w:rsid w:val="00C269B6"/>
    <w:rsid w:val="00CB756B"/>
    <w:rsid w:val="00CC5A6A"/>
    <w:rsid w:val="00D22B76"/>
    <w:rsid w:val="00DB7A13"/>
    <w:rsid w:val="00DE31F0"/>
    <w:rsid w:val="00E727E5"/>
    <w:rsid w:val="00EA76D2"/>
    <w:rsid w:val="00EC6928"/>
    <w:rsid w:val="00F20753"/>
    <w:rsid w:val="00F333A4"/>
    <w:rsid w:val="00F67B38"/>
    <w:rsid w:val="00F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87D5"/>
  <w15:chartTrackingRefBased/>
  <w15:docId w15:val="{0954439B-5378-4F90-8233-7BE15932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rtosz%20Turek\Desktop\Exit\HRE\Zanadrze\2019%20budownictwo%20mieszkaniowe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rtosz%20Turek\Desktop\Exit\HRE\Zanadrze\Google%20trends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rtosz%20Turek\Desktop\Exit\HRE\Zanadrze\2019%20budownictwo%20mieszkaniowe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739653543307093E-2"/>
          <c:y val="0.17105009859757023"/>
          <c:w val="0.90579367979002623"/>
          <c:h val="0.589669862107434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'sierpień ''20'!$B$5</c:f>
              <c:strCache>
                <c:ptCount val="1"/>
                <c:pt idx="0">
                  <c:v>Indywidualne</c:v>
                </c:pt>
              </c:strCache>
            </c:strRef>
          </c:tx>
          <c:spPr>
            <a:solidFill>
              <a:srgbClr val="22283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'sierpień ''20'!$C$4:$E$4</c:f>
              <c:strCache>
                <c:ptCount val="3"/>
                <c:pt idx="0">
                  <c:v>mieszkania oddane do użytkowania</c:v>
                </c:pt>
                <c:pt idx="1">
                  <c:v>mieszkania, których budowę rozpoczęto</c:v>
                </c:pt>
                <c:pt idx="2">
                  <c:v>mieszkania, na których budowę wydano pozwolenia</c:v>
                </c:pt>
              </c:strCache>
            </c:strRef>
          </c:cat>
          <c:val>
            <c:numRef>
              <c:f>'sierpień ''20'!$C$5:$E$5</c:f>
              <c:numCache>
                <c:formatCode>0.0%</c:formatCode>
                <c:ptCount val="3"/>
                <c:pt idx="0">
                  <c:v>0.111</c:v>
                </c:pt>
                <c:pt idx="1">
                  <c:v>3.0000000000000001E-3</c:v>
                </c:pt>
                <c:pt idx="2">
                  <c:v>4.4999999999999998E-2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0D-4556-9C32-EC636EA4D240}"/>
            </c:ext>
          </c:extLst>
        </c:ser>
        <c:ser>
          <c:idx val="1"/>
          <c:order val="1"/>
          <c:tx>
            <c:strRef>
              <c:f>'sierpień ''20'!$B$6</c:f>
              <c:strCache>
                <c:ptCount val="1"/>
                <c:pt idx="0">
                  <c:v>Deweloperskie</c:v>
                </c:pt>
              </c:strCache>
            </c:strRef>
          </c:tx>
          <c:spPr>
            <a:solidFill>
              <a:srgbClr val="D08C5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'sierpień ''20'!$C$4:$E$4</c:f>
              <c:strCache>
                <c:ptCount val="3"/>
                <c:pt idx="0">
                  <c:v>mieszkania oddane do użytkowania</c:v>
                </c:pt>
                <c:pt idx="1">
                  <c:v>mieszkania, których budowę rozpoczęto</c:v>
                </c:pt>
                <c:pt idx="2">
                  <c:v>mieszkania, na których budowę wydano pozwolenia</c:v>
                </c:pt>
              </c:strCache>
            </c:strRef>
          </c:cat>
          <c:val>
            <c:numRef>
              <c:f>'sierpień ''20'!$C$6:$E$6</c:f>
              <c:numCache>
                <c:formatCode>0.0%</c:formatCode>
                <c:ptCount val="3"/>
                <c:pt idx="0">
                  <c:v>-4.3999999999999997E-2</c:v>
                </c:pt>
                <c:pt idx="1">
                  <c:v>-4.0000000000000001E-3</c:v>
                </c:pt>
                <c:pt idx="2">
                  <c:v>-0.11700000000000001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0D-4556-9C32-EC636EA4D2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2179448"/>
        <c:axId val="595877000"/>
      </c:barChart>
      <c:catAx>
        <c:axId val="492179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95877000"/>
        <c:crosses val="autoZero"/>
        <c:auto val="1"/>
        <c:lblAlgn val="ctr"/>
        <c:lblOffset val="100"/>
        <c:noMultiLvlLbl val="0"/>
      </c:catAx>
      <c:valAx>
        <c:axId val="595877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2179448"/>
        <c:crosses val="autoZero"/>
        <c:crossBetween val="between"/>
        <c:minorUnit val="0.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275506561679781"/>
          <c:y val="0.88885962977856747"/>
          <c:w val="0.31582303412073492"/>
          <c:h val="5.71069986810024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07658061729624"/>
          <c:y val="0.14876830318690784"/>
          <c:w val="0.85774527392936639"/>
          <c:h val="0.58350558661376206"/>
        </c:manualLayout>
      </c:layout>
      <c:lineChart>
        <c:grouping val="standard"/>
        <c:varyColors val="0"/>
        <c:ser>
          <c:idx val="0"/>
          <c:order val="0"/>
          <c:tx>
            <c:strRef>
              <c:f>Wykresy!$AO$24</c:f>
              <c:strCache>
                <c:ptCount val="1"/>
                <c:pt idx="0">
                  <c:v>mieszkanie średnia</c:v>
                </c:pt>
              </c:strCache>
            </c:strRef>
          </c:tx>
          <c:spPr>
            <a:ln w="28575" cap="rnd">
              <a:solidFill>
                <a:srgbClr val="D08C5F"/>
              </a:solidFill>
              <a:round/>
            </a:ln>
            <a:effectLst/>
          </c:spPr>
          <c:marker>
            <c:symbol val="none"/>
          </c:marker>
          <c:dPt>
            <c:idx val="66"/>
            <c:marker>
              <c:symbol val="none"/>
            </c:marker>
            <c:bubble3D val="0"/>
            <c:spPr>
              <a:ln w="28575" cap="rnd">
                <a:solidFill>
                  <a:srgbClr val="D08C5F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94C3-4325-9E0A-43CA874AD010}"/>
              </c:ext>
            </c:extLst>
          </c:dPt>
          <c:dPt>
            <c:idx val="67"/>
            <c:marker>
              <c:symbol val="none"/>
            </c:marker>
            <c:bubble3D val="0"/>
            <c:spPr>
              <a:ln w="28575" cap="rnd">
                <a:solidFill>
                  <a:srgbClr val="D08C5F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94C3-4325-9E0A-43CA874AD010}"/>
              </c:ext>
            </c:extLst>
          </c:dPt>
          <c:dPt>
            <c:idx val="71"/>
            <c:marker>
              <c:symbol val="none"/>
            </c:marker>
            <c:bubble3D val="0"/>
            <c:spPr>
              <a:ln w="28575" cap="rnd">
                <a:solidFill>
                  <a:srgbClr val="D08C5F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94C3-4325-9E0A-43CA874AD010}"/>
              </c:ext>
            </c:extLst>
          </c:dPt>
          <c:dPt>
            <c:idx val="73"/>
            <c:marker>
              <c:symbol val="none"/>
            </c:marker>
            <c:bubble3D val="0"/>
            <c:spPr>
              <a:ln w="28575" cap="rnd">
                <a:solidFill>
                  <a:srgbClr val="D08C5F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94C3-4325-9E0A-43CA874AD010}"/>
              </c:ext>
            </c:extLst>
          </c:dPt>
          <c:dPt>
            <c:idx val="75"/>
            <c:marker>
              <c:symbol val="none"/>
            </c:marker>
            <c:bubble3D val="0"/>
            <c:spPr>
              <a:ln w="28575" cap="rnd">
                <a:solidFill>
                  <a:srgbClr val="D08C5F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94C3-4325-9E0A-43CA874AD010}"/>
              </c:ext>
            </c:extLst>
          </c:dPt>
          <c:cat>
            <c:strRef>
              <c:f>Wykresy!$AH$25:$AH$113</c:f>
              <c:strCache>
                <c:ptCount val="89"/>
                <c:pt idx="0">
                  <c:v>2019-01-06</c:v>
                </c:pt>
                <c:pt idx="1">
                  <c:v>2019-01-13</c:v>
                </c:pt>
                <c:pt idx="2">
                  <c:v>2019-01-20</c:v>
                </c:pt>
                <c:pt idx="3">
                  <c:v>2019-01-27</c:v>
                </c:pt>
                <c:pt idx="4">
                  <c:v>2019-02-03</c:v>
                </c:pt>
                <c:pt idx="5">
                  <c:v>2019-02-10</c:v>
                </c:pt>
                <c:pt idx="6">
                  <c:v>2019-02-17</c:v>
                </c:pt>
                <c:pt idx="7">
                  <c:v>2019-02-24</c:v>
                </c:pt>
                <c:pt idx="8">
                  <c:v>2019-03-03</c:v>
                </c:pt>
                <c:pt idx="9">
                  <c:v>2019-03-10</c:v>
                </c:pt>
                <c:pt idx="10">
                  <c:v>2019-03-17</c:v>
                </c:pt>
                <c:pt idx="11">
                  <c:v>2019-03-24</c:v>
                </c:pt>
                <c:pt idx="12">
                  <c:v>2019-03-31</c:v>
                </c:pt>
                <c:pt idx="13">
                  <c:v>2019-04-07</c:v>
                </c:pt>
                <c:pt idx="14">
                  <c:v>2019-04-14</c:v>
                </c:pt>
                <c:pt idx="15">
                  <c:v>2019-04-21</c:v>
                </c:pt>
                <c:pt idx="16">
                  <c:v>2019-04-28</c:v>
                </c:pt>
                <c:pt idx="17">
                  <c:v>2019-05-05</c:v>
                </c:pt>
                <c:pt idx="18">
                  <c:v>2019-05-12</c:v>
                </c:pt>
                <c:pt idx="19">
                  <c:v>2019-05-19</c:v>
                </c:pt>
                <c:pt idx="20">
                  <c:v>2019-05-26</c:v>
                </c:pt>
                <c:pt idx="21">
                  <c:v>2019-06-02</c:v>
                </c:pt>
                <c:pt idx="22">
                  <c:v>2019-06-09</c:v>
                </c:pt>
                <c:pt idx="23">
                  <c:v>2019-06-16</c:v>
                </c:pt>
                <c:pt idx="24">
                  <c:v>2019-06-23</c:v>
                </c:pt>
                <c:pt idx="25">
                  <c:v>2019-06-30</c:v>
                </c:pt>
                <c:pt idx="26">
                  <c:v>2019-07-07</c:v>
                </c:pt>
                <c:pt idx="27">
                  <c:v>2019-07-14</c:v>
                </c:pt>
                <c:pt idx="28">
                  <c:v>2019-07-21</c:v>
                </c:pt>
                <c:pt idx="29">
                  <c:v>2019-07-28</c:v>
                </c:pt>
                <c:pt idx="30">
                  <c:v>2019-08-04</c:v>
                </c:pt>
                <c:pt idx="31">
                  <c:v>2019-08-11</c:v>
                </c:pt>
                <c:pt idx="32">
                  <c:v>2019-08-18</c:v>
                </c:pt>
                <c:pt idx="33">
                  <c:v>2019-08-25</c:v>
                </c:pt>
                <c:pt idx="34">
                  <c:v>2019-09-01</c:v>
                </c:pt>
                <c:pt idx="35">
                  <c:v>2019-09-08</c:v>
                </c:pt>
                <c:pt idx="36">
                  <c:v>2019-09-15</c:v>
                </c:pt>
                <c:pt idx="37">
                  <c:v>2019-09-22</c:v>
                </c:pt>
                <c:pt idx="38">
                  <c:v>2019-09-29</c:v>
                </c:pt>
                <c:pt idx="39">
                  <c:v>2019-10-06</c:v>
                </c:pt>
                <c:pt idx="40">
                  <c:v>2019-10-13</c:v>
                </c:pt>
                <c:pt idx="41">
                  <c:v>2019-10-20</c:v>
                </c:pt>
                <c:pt idx="42">
                  <c:v>2019-10-27</c:v>
                </c:pt>
                <c:pt idx="43">
                  <c:v>2019-11-03</c:v>
                </c:pt>
                <c:pt idx="44">
                  <c:v>2019-11-10</c:v>
                </c:pt>
                <c:pt idx="45">
                  <c:v>2019-11-17</c:v>
                </c:pt>
                <c:pt idx="46">
                  <c:v>2019-11-24</c:v>
                </c:pt>
                <c:pt idx="47">
                  <c:v>2019-12-01</c:v>
                </c:pt>
                <c:pt idx="48">
                  <c:v>2019-12-08</c:v>
                </c:pt>
                <c:pt idx="49">
                  <c:v>2019-12-15</c:v>
                </c:pt>
                <c:pt idx="50">
                  <c:v>2019-12-22</c:v>
                </c:pt>
                <c:pt idx="51">
                  <c:v>2019-12-29</c:v>
                </c:pt>
                <c:pt idx="52">
                  <c:v>2020-01-05</c:v>
                </c:pt>
                <c:pt idx="53">
                  <c:v>2020-01-12</c:v>
                </c:pt>
                <c:pt idx="54">
                  <c:v>2020-01-19</c:v>
                </c:pt>
                <c:pt idx="55">
                  <c:v>2020-01-26</c:v>
                </c:pt>
                <c:pt idx="56">
                  <c:v>2020-02-02</c:v>
                </c:pt>
                <c:pt idx="57">
                  <c:v>2020-02-09</c:v>
                </c:pt>
                <c:pt idx="58">
                  <c:v>2020-02-16</c:v>
                </c:pt>
                <c:pt idx="59">
                  <c:v>2020-02-23</c:v>
                </c:pt>
                <c:pt idx="60">
                  <c:v>2020-03-01</c:v>
                </c:pt>
                <c:pt idx="61">
                  <c:v>2020-03-08</c:v>
                </c:pt>
                <c:pt idx="62">
                  <c:v>2020-03-15</c:v>
                </c:pt>
                <c:pt idx="63">
                  <c:v>2020-03-22</c:v>
                </c:pt>
                <c:pt idx="64">
                  <c:v>2020-03-29</c:v>
                </c:pt>
                <c:pt idx="65">
                  <c:v>2020-04-05</c:v>
                </c:pt>
                <c:pt idx="66">
                  <c:v>2020-04-12</c:v>
                </c:pt>
                <c:pt idx="67">
                  <c:v>2020-04-19</c:v>
                </c:pt>
                <c:pt idx="68">
                  <c:v>2020-04-26</c:v>
                </c:pt>
                <c:pt idx="69">
                  <c:v>2020-05-03</c:v>
                </c:pt>
                <c:pt idx="70">
                  <c:v>2020-05-10</c:v>
                </c:pt>
                <c:pt idx="71">
                  <c:v>2020-05-17</c:v>
                </c:pt>
                <c:pt idx="72">
                  <c:v>2020-05-24</c:v>
                </c:pt>
                <c:pt idx="73">
                  <c:v>2020-05-31</c:v>
                </c:pt>
                <c:pt idx="74">
                  <c:v>2020-06-07</c:v>
                </c:pt>
                <c:pt idx="75">
                  <c:v>2020-06-14</c:v>
                </c:pt>
                <c:pt idx="76">
                  <c:v>2020-06-21</c:v>
                </c:pt>
                <c:pt idx="77">
                  <c:v>2020-06-28</c:v>
                </c:pt>
                <c:pt idx="78">
                  <c:v>2020-07-05</c:v>
                </c:pt>
                <c:pt idx="79">
                  <c:v>2020-07-12</c:v>
                </c:pt>
                <c:pt idx="80">
                  <c:v>2020-07-19</c:v>
                </c:pt>
                <c:pt idx="81">
                  <c:v>2020-07-26</c:v>
                </c:pt>
                <c:pt idx="82">
                  <c:v>2020-08-02</c:v>
                </c:pt>
                <c:pt idx="83">
                  <c:v>2020-08-09</c:v>
                </c:pt>
                <c:pt idx="84">
                  <c:v>2020-08-16</c:v>
                </c:pt>
                <c:pt idx="85">
                  <c:v>2020-08-23</c:v>
                </c:pt>
                <c:pt idx="86">
                  <c:v>2020-08-30</c:v>
                </c:pt>
                <c:pt idx="87">
                  <c:v>2020-09-06</c:v>
                </c:pt>
                <c:pt idx="88">
                  <c:v>2020-09-13</c:v>
                </c:pt>
              </c:strCache>
            </c:strRef>
          </c:cat>
          <c:val>
            <c:numRef>
              <c:f>Wykresy!$AO$25:$AO$113</c:f>
              <c:numCache>
                <c:formatCode>General</c:formatCode>
                <c:ptCount val="89"/>
                <c:pt idx="0">
                  <c:v>74.195540421598821</c:v>
                </c:pt>
                <c:pt idx="1">
                  <c:v>58.539601916540427</c:v>
                </c:pt>
                <c:pt idx="2">
                  <c:v>69.456299075070191</c:v>
                </c:pt>
                <c:pt idx="3">
                  <c:v>73.953091145368546</c:v>
                </c:pt>
                <c:pt idx="4">
                  <c:v>74.630895914276039</c:v>
                </c:pt>
                <c:pt idx="5">
                  <c:v>67.249470794565227</c:v>
                </c:pt>
                <c:pt idx="6">
                  <c:v>65.588995683917389</c:v>
                </c:pt>
                <c:pt idx="7">
                  <c:v>64.505879607181242</c:v>
                </c:pt>
                <c:pt idx="8">
                  <c:v>70.421553074776938</c:v>
                </c:pt>
                <c:pt idx="9">
                  <c:v>67.37336823764592</c:v>
                </c:pt>
                <c:pt idx="10">
                  <c:v>67.339583452299678</c:v>
                </c:pt>
                <c:pt idx="11">
                  <c:v>75.63549254191247</c:v>
                </c:pt>
                <c:pt idx="12">
                  <c:v>62.20942945695036</c:v>
                </c:pt>
                <c:pt idx="13">
                  <c:v>67.309459680206501</c:v>
                </c:pt>
                <c:pt idx="14">
                  <c:v>58.685365955083732</c:v>
                </c:pt>
                <c:pt idx="15">
                  <c:v>73.419292863352069</c:v>
                </c:pt>
                <c:pt idx="16">
                  <c:v>64.1914038745591</c:v>
                </c:pt>
                <c:pt idx="17">
                  <c:v>73.885296077482963</c:v>
                </c:pt>
                <c:pt idx="18">
                  <c:v>63.933647318277941</c:v>
                </c:pt>
                <c:pt idx="19">
                  <c:v>71.389725273453479</c:v>
                </c:pt>
                <c:pt idx="20">
                  <c:v>64.969342661754268</c:v>
                </c:pt>
                <c:pt idx="21">
                  <c:v>66.670340944460492</c:v>
                </c:pt>
                <c:pt idx="22">
                  <c:v>64.236078847879114</c:v>
                </c:pt>
                <c:pt idx="23">
                  <c:v>74.736547981524879</c:v>
                </c:pt>
                <c:pt idx="24">
                  <c:v>76.243015141539587</c:v>
                </c:pt>
                <c:pt idx="25">
                  <c:v>71.317937578795508</c:v>
                </c:pt>
                <c:pt idx="26">
                  <c:v>82.630010904115736</c:v>
                </c:pt>
                <c:pt idx="27">
                  <c:v>86.106832744022938</c:v>
                </c:pt>
                <c:pt idx="28">
                  <c:v>79.876623853371626</c:v>
                </c:pt>
                <c:pt idx="29">
                  <c:v>76.516569765880192</c:v>
                </c:pt>
                <c:pt idx="30">
                  <c:v>81.379018799369391</c:v>
                </c:pt>
                <c:pt idx="31">
                  <c:v>81.21236974138057</c:v>
                </c:pt>
                <c:pt idx="32">
                  <c:v>80.292394251599006</c:v>
                </c:pt>
                <c:pt idx="33">
                  <c:v>89.080716256019684</c:v>
                </c:pt>
                <c:pt idx="34">
                  <c:v>74.262838069205486</c:v>
                </c:pt>
                <c:pt idx="35">
                  <c:v>76.90598352159364</c:v>
                </c:pt>
                <c:pt idx="36">
                  <c:v>78.881922573151115</c:v>
                </c:pt>
                <c:pt idx="37">
                  <c:v>75.202319066192246</c:v>
                </c:pt>
                <c:pt idx="38">
                  <c:v>69.495137650450559</c:v>
                </c:pt>
                <c:pt idx="39">
                  <c:v>66.252149767542235</c:v>
                </c:pt>
                <c:pt idx="40">
                  <c:v>65.237558308434132</c:v>
                </c:pt>
                <c:pt idx="41">
                  <c:v>66.601935707699383</c:v>
                </c:pt>
                <c:pt idx="42">
                  <c:v>64.976684585071567</c:v>
                </c:pt>
                <c:pt idx="43">
                  <c:v>71.184217743273166</c:v>
                </c:pt>
                <c:pt idx="44">
                  <c:v>70.482331200594132</c:v>
                </c:pt>
                <c:pt idx="45">
                  <c:v>64.510807384078021</c:v>
                </c:pt>
                <c:pt idx="46">
                  <c:v>57.861319624165141</c:v>
                </c:pt>
                <c:pt idx="47">
                  <c:v>59.624707674392397</c:v>
                </c:pt>
                <c:pt idx="48">
                  <c:v>55.077895020842902</c:v>
                </c:pt>
                <c:pt idx="49">
                  <c:v>45.546002654367243</c:v>
                </c:pt>
                <c:pt idx="50">
                  <c:v>64.814432722348698</c:v>
                </c:pt>
                <c:pt idx="51">
                  <c:v>68.70482304671512</c:v>
                </c:pt>
                <c:pt idx="52">
                  <c:v>78.622706917385059</c:v>
                </c:pt>
                <c:pt idx="53">
                  <c:v>77.061284764951992</c:v>
                </c:pt>
                <c:pt idx="54">
                  <c:v>83.726802722387802</c:v>
                </c:pt>
                <c:pt idx="55">
                  <c:v>76.793287983194887</c:v>
                </c:pt>
                <c:pt idx="56">
                  <c:v>78.25819070470061</c:v>
                </c:pt>
                <c:pt idx="57">
                  <c:v>68.415516780207824</c:v>
                </c:pt>
                <c:pt idx="58">
                  <c:v>78.503312785896441</c:v>
                </c:pt>
                <c:pt idx="59">
                  <c:v>84.773023478966721</c:v>
                </c:pt>
                <c:pt idx="60">
                  <c:v>69.561579735177418</c:v>
                </c:pt>
                <c:pt idx="61">
                  <c:v>48.564275952057443</c:v>
                </c:pt>
                <c:pt idx="62">
                  <c:v>40.095768657919621</c:v>
                </c:pt>
                <c:pt idx="63">
                  <c:v>36.603327821253409</c:v>
                </c:pt>
                <c:pt idx="64">
                  <c:v>34.661186819582944</c:v>
                </c:pt>
                <c:pt idx="65">
                  <c:v>34.990963199985565</c:v>
                </c:pt>
                <c:pt idx="66">
                  <c:v>45.318316812016185</c:v>
                </c:pt>
                <c:pt idx="67">
                  <c:v>43.217909942124813</c:v>
                </c:pt>
                <c:pt idx="68">
                  <c:v>58.588594497881743</c:v>
                </c:pt>
                <c:pt idx="69">
                  <c:v>62.127965279799227</c:v>
                </c:pt>
                <c:pt idx="70">
                  <c:v>63.136282611122198</c:v>
                </c:pt>
                <c:pt idx="71">
                  <c:v>58.316319901725663</c:v>
                </c:pt>
                <c:pt idx="72">
                  <c:v>63.864459473611291</c:v>
                </c:pt>
                <c:pt idx="73">
                  <c:v>72.596738793270319</c:v>
                </c:pt>
                <c:pt idx="74">
                  <c:v>71.189576617745033</c:v>
                </c:pt>
                <c:pt idx="75">
                  <c:v>69.334941791547323</c:v>
                </c:pt>
                <c:pt idx="76">
                  <c:v>72.155891780713517</c:v>
                </c:pt>
                <c:pt idx="77">
                  <c:v>68.474855703351281</c:v>
                </c:pt>
                <c:pt idx="78">
                  <c:v>73.503741562176899</c:v>
                </c:pt>
                <c:pt idx="79">
                  <c:v>65.430093117739446</c:v>
                </c:pt>
                <c:pt idx="80">
                  <c:v>80.19077460474486</c:v>
                </c:pt>
                <c:pt idx="81">
                  <c:v>74.659885568133205</c:v>
                </c:pt>
                <c:pt idx="82">
                  <c:v>72.072464451528162</c:v>
                </c:pt>
                <c:pt idx="83">
                  <c:v>83.520134544889956</c:v>
                </c:pt>
                <c:pt idx="84">
                  <c:v>79.099805919871685</c:v>
                </c:pt>
                <c:pt idx="85">
                  <c:v>83.582484518788647</c:v>
                </c:pt>
                <c:pt idx="86">
                  <c:v>100</c:v>
                </c:pt>
                <c:pt idx="87">
                  <c:v>88.233019248904668</c:v>
                </c:pt>
                <c:pt idx="88">
                  <c:v>79.646033076591522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94C3-4325-9E0A-43CA874AD0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5342543"/>
        <c:axId val="507755791"/>
      </c:lineChart>
      <c:catAx>
        <c:axId val="5653425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07755791"/>
        <c:crosses val="autoZero"/>
        <c:auto val="1"/>
        <c:lblAlgn val="ctr"/>
        <c:lblOffset val="100"/>
        <c:noMultiLvlLbl val="0"/>
      </c:catAx>
      <c:valAx>
        <c:axId val="507755791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Indeks popularności </a:t>
                </a:r>
                <a:endParaRPr lang="pl-PL" b="1"/>
              </a:p>
              <a:p>
                <a:pPr>
                  <a:defRPr b="1"/>
                </a:pPr>
                <a:r>
                  <a:rPr lang="en-US" b="1"/>
                  <a:t>100 pkt. = hisotryczne maksimum</a:t>
                </a:r>
              </a:p>
            </c:rich>
          </c:tx>
          <c:layout>
            <c:manualLayout>
              <c:xMode val="edge"/>
              <c:yMode val="edge"/>
              <c:x val="2.1097125329642584E-3"/>
              <c:y val="0.2493944919129816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653425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Wyniki budownictwa mieszkaniowego w sierpniu 2020 r.</a:t>
            </a:r>
          </a:p>
          <a:p>
            <a:pPr>
              <a:defRPr b="1"/>
            </a:pPr>
            <a:r>
              <a:rPr lang="pl-PL" b="0"/>
              <a:t>(m/m, czyli zmina względem poprzedniego</a:t>
            </a:r>
            <a:r>
              <a:rPr lang="pl-PL" b="0" baseline="0"/>
              <a:t> miesiąca</a:t>
            </a:r>
            <a:r>
              <a:rPr lang="pl-PL" b="0"/>
              <a:t>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0739653543307093E-2"/>
          <c:y val="0.17105009859757023"/>
          <c:w val="0.90579367979002623"/>
          <c:h val="0.589669862107434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'sierpień ''20'!$B$5</c:f>
              <c:strCache>
                <c:ptCount val="1"/>
                <c:pt idx="0">
                  <c:v>Indywidualne</c:v>
                </c:pt>
              </c:strCache>
            </c:strRef>
          </c:tx>
          <c:spPr>
            <a:solidFill>
              <a:srgbClr val="22283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'sierpień ''20'!$C$4:$E$4</c:f>
              <c:strCache>
                <c:ptCount val="3"/>
                <c:pt idx="0">
                  <c:v>mieszkania oddane do użytkowania</c:v>
                </c:pt>
                <c:pt idx="1">
                  <c:v>mieszkania, których budowę rozpoczęto</c:v>
                </c:pt>
                <c:pt idx="2">
                  <c:v>mieszkania, na których budowę wydano pozwolenia</c:v>
                </c:pt>
              </c:strCache>
            </c:strRef>
          </c:cat>
          <c:val>
            <c:numRef>
              <c:f>'sierpień ''20'!$C$9:$E$9</c:f>
              <c:numCache>
                <c:formatCode>0.0%</c:formatCode>
                <c:ptCount val="3"/>
                <c:pt idx="0">
                  <c:v>-0.17</c:v>
                </c:pt>
                <c:pt idx="1">
                  <c:v>-9.7000000000000003E-2</c:v>
                </c:pt>
                <c:pt idx="2">
                  <c:v>-0.157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8E-41F7-9818-17449068F4D2}"/>
            </c:ext>
          </c:extLst>
        </c:ser>
        <c:ser>
          <c:idx val="1"/>
          <c:order val="1"/>
          <c:tx>
            <c:strRef>
              <c:f>'sierpień ''20'!$B$6</c:f>
              <c:strCache>
                <c:ptCount val="1"/>
                <c:pt idx="0">
                  <c:v>Deweloperskie</c:v>
                </c:pt>
              </c:strCache>
            </c:strRef>
          </c:tx>
          <c:spPr>
            <a:solidFill>
              <a:srgbClr val="D08C5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'sierpień ''20'!$C$4:$E$4</c:f>
              <c:strCache>
                <c:ptCount val="3"/>
                <c:pt idx="0">
                  <c:v>mieszkania oddane do użytkowania</c:v>
                </c:pt>
                <c:pt idx="1">
                  <c:v>mieszkania, których budowę rozpoczęto</c:v>
                </c:pt>
                <c:pt idx="2">
                  <c:v>mieszkania, na których budowę wydano pozwolenia</c:v>
                </c:pt>
              </c:strCache>
            </c:strRef>
          </c:cat>
          <c:val>
            <c:numRef>
              <c:f>'sierpień ''20'!$C$10:$E$10</c:f>
              <c:numCache>
                <c:formatCode>0.0%</c:formatCode>
                <c:ptCount val="3"/>
                <c:pt idx="0">
                  <c:v>-0.27100000000000002</c:v>
                </c:pt>
                <c:pt idx="1">
                  <c:v>-0.108</c:v>
                </c:pt>
                <c:pt idx="2">
                  <c:v>-0.127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8E-41F7-9818-17449068F4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2179448"/>
        <c:axId val="595877000"/>
      </c:barChart>
      <c:catAx>
        <c:axId val="492179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95877000"/>
        <c:crosses val="autoZero"/>
        <c:auto val="1"/>
        <c:lblAlgn val="ctr"/>
        <c:lblOffset val="100"/>
        <c:noMultiLvlLbl val="0"/>
      </c:catAx>
      <c:valAx>
        <c:axId val="595877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2179448"/>
        <c:crosses val="autoZero"/>
        <c:crossBetween val="between"/>
        <c:minorUnit val="0.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275506561679781"/>
          <c:y val="0.88885962977856747"/>
          <c:w val="0.31582303412073492"/>
          <c:h val="5.71069986810024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0.94399</cdr:y>
    </cdr:from>
    <cdr:to>
      <cdr:x>1</cdr:x>
      <cdr:y>0.99842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0" y="3638550"/>
          <a:ext cx="5953125" cy="2098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900"/>
            <a:t>Opracowanie HRE Investments</a:t>
          </a:r>
          <a:r>
            <a:rPr lang="pl-PL" sz="900" baseline="0"/>
            <a:t> na podstawie danych GUS</a:t>
          </a:r>
          <a:endParaRPr lang="pl-PL" sz="900"/>
        </a:p>
      </cdr:txBody>
    </cdr:sp>
  </cdr:relSizeAnchor>
  <cdr:relSizeAnchor xmlns:cdr="http://schemas.openxmlformats.org/drawingml/2006/chartDrawing">
    <cdr:from>
      <cdr:x>0.00496</cdr:x>
      <cdr:y>0.00505</cdr:y>
    </cdr:from>
    <cdr:to>
      <cdr:x>0.99537</cdr:x>
      <cdr:y>0.16148</cdr:y>
    </cdr:to>
    <cdr:sp macro="" textlink="">
      <cdr:nvSpPr>
        <cdr:cNvPr id="3" name="Pole tekstowe 2"/>
        <cdr:cNvSpPr txBox="1"/>
      </cdr:nvSpPr>
      <cdr:spPr>
        <a:xfrm xmlns:a="http://schemas.openxmlformats.org/drawingml/2006/main">
          <a:off x="28575" y="19050"/>
          <a:ext cx="5705475" cy="590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 rtl="0"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pl-PL" sz="1400" b="1"/>
            <a:t>Wyniki budownictwa mieszkaniowego w sierpniu 2020 r.</a:t>
          </a:r>
        </a:p>
        <a:p xmlns:a="http://schemas.openxmlformats.org/drawingml/2006/main">
          <a:pPr algn="ctr" rtl="0"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pl-PL" sz="1400" b="0"/>
            <a:t>(r/r, czyli zmina względem analogicznego miesiąca</a:t>
          </a:r>
          <a:r>
            <a:rPr lang="pl-PL" sz="1400" b="0" baseline="0"/>
            <a:t> przed rokiem</a:t>
          </a:r>
          <a:r>
            <a:rPr lang="pl-PL" sz="1400" b="0"/>
            <a:t>)</a:t>
          </a:r>
        </a:p>
        <a:p xmlns:a="http://schemas.openxmlformats.org/drawingml/2006/main">
          <a:endParaRPr lang="pl-PL" sz="14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0.00158</cdr:x>
      <cdr:y>0.00517</cdr:y>
    </cdr:from>
    <cdr:to>
      <cdr:x>0.99684</cdr:x>
      <cdr:y>0.1447</cdr:y>
    </cdr:to>
    <cdr:sp macro="" textlink="">
      <cdr:nvSpPr>
        <cdr:cNvPr id="2" name="pole tekstowe 1">
          <a:extLst xmlns:a="http://schemas.openxmlformats.org/drawingml/2006/main">
            <a:ext uri="{FF2B5EF4-FFF2-40B4-BE49-F238E27FC236}">
              <a16:creationId xmlns:a16="http://schemas.microsoft.com/office/drawing/2014/main" id="{BD728358-90A7-45F8-81A1-5390C46C9F12}"/>
            </a:ext>
          </a:extLst>
        </cdr:cNvPr>
        <cdr:cNvSpPr txBox="1"/>
      </cdr:nvSpPr>
      <cdr:spPr>
        <a:xfrm xmlns:a="http://schemas.openxmlformats.org/drawingml/2006/main">
          <a:off x="9525" y="19051"/>
          <a:ext cx="5991225" cy="514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1400" b="1" i="0" baseline="0">
              <a:effectLst/>
              <a:latin typeface="+mn-lt"/>
              <a:ea typeface="+mn-ea"/>
              <a:cs typeface="+mn-cs"/>
            </a:rPr>
            <a:t>Popularność hasła "mieszkanie" w wyszukiwarce Google</a:t>
          </a:r>
          <a:endParaRPr lang="pl-PL" sz="1400">
            <a:effectLst/>
          </a:endParaRPr>
        </a:p>
      </cdr:txBody>
    </cdr:sp>
  </cdr:relSizeAnchor>
  <cdr:relSizeAnchor xmlns:cdr="http://schemas.openxmlformats.org/drawingml/2006/chartDrawing">
    <cdr:from>
      <cdr:x>0.00316</cdr:x>
      <cdr:y>0.8972</cdr:y>
    </cdr:from>
    <cdr:to>
      <cdr:x>1</cdr:x>
      <cdr:y>1</cdr:y>
    </cdr:to>
    <cdr:sp macro="" textlink="">
      <cdr:nvSpPr>
        <cdr:cNvPr id="3" name="pole tekstowe 2">
          <a:extLst xmlns:a="http://schemas.openxmlformats.org/drawingml/2006/main">
            <a:ext uri="{FF2B5EF4-FFF2-40B4-BE49-F238E27FC236}">
              <a16:creationId xmlns:a16="http://schemas.microsoft.com/office/drawing/2014/main" id="{48D3B0A9-1185-4857-81F7-02E06F24C3A7}"/>
            </a:ext>
          </a:extLst>
        </cdr:cNvPr>
        <cdr:cNvSpPr txBox="1"/>
      </cdr:nvSpPr>
      <cdr:spPr>
        <a:xfrm xmlns:a="http://schemas.openxmlformats.org/drawingml/2006/main">
          <a:off x="21119" y="4063999"/>
          <a:ext cx="6662256" cy="4656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900"/>
            <a:t>Opracowanie HRE Investments na podstawie danych Google. Średnia dla fraz</a:t>
          </a:r>
          <a:r>
            <a:rPr lang="pl-PL" sz="900" baseline="0"/>
            <a:t> "mieszkanie Warszawa", "mieszkanie Wrocław", "mieszkanie Kraków", "mieszkanie Gdańsk", "mieszkanie Poznań". Dane z dnia 21.09.2020 r.</a:t>
          </a:r>
          <a:endParaRPr lang="pl-PL" sz="9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0.94399</cdr:y>
    </cdr:from>
    <cdr:to>
      <cdr:x>1</cdr:x>
      <cdr:y>0.99842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0" y="3638550"/>
          <a:ext cx="5953125" cy="2098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900"/>
            <a:t>Opracowanie HRE Investments</a:t>
          </a:r>
          <a:r>
            <a:rPr lang="pl-PL" sz="900" baseline="0"/>
            <a:t> na podstawie danych GUS</a:t>
          </a:r>
          <a:endParaRPr lang="pl-PL" sz="900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Turek</dc:creator>
  <cp:keywords/>
  <dc:description/>
  <cp:lastModifiedBy>Bartosz Turek</cp:lastModifiedBy>
  <cp:revision>3</cp:revision>
  <cp:lastPrinted>2020-08-21T08:24:00Z</cp:lastPrinted>
  <dcterms:created xsi:type="dcterms:W3CDTF">2020-09-21T10:20:00Z</dcterms:created>
  <dcterms:modified xsi:type="dcterms:W3CDTF">2020-09-21T10:25:00Z</dcterms:modified>
</cp:coreProperties>
</file>