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drawings/drawing4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2D68D" w14:textId="688CEF16" w:rsidR="00032B20" w:rsidRDefault="00032B20">
      <w:pPr>
        <w:rPr>
          <w:b/>
          <w:bCs/>
        </w:rPr>
      </w:pPr>
      <w:r>
        <w:rPr>
          <w:b/>
          <w:bCs/>
        </w:rPr>
        <w:t xml:space="preserve">Rekordowy popyt na </w:t>
      </w:r>
      <w:r w:rsidR="001B1327">
        <w:rPr>
          <w:b/>
          <w:bCs/>
        </w:rPr>
        <w:t>kredyty mieszkaniowe</w:t>
      </w:r>
    </w:p>
    <w:p w14:paraId="1439D694" w14:textId="24E8C9BC" w:rsidR="0002526F" w:rsidRDefault="001B1327">
      <w:pPr>
        <w:rPr>
          <w:b/>
          <w:bCs/>
        </w:rPr>
      </w:pPr>
      <w:r>
        <w:rPr>
          <w:b/>
          <w:bCs/>
        </w:rPr>
        <w:t xml:space="preserve">W marcu zgłosiliśmy się do banków po najwięcej hipotek w historii. Jest to splot wielu czynników. Chcemy skorzystać z najtańszych kredytów w historii, ratujemy oszczędności przed inflacją, ale też </w:t>
      </w:r>
      <w:r w:rsidR="0002526F" w:rsidRPr="0002526F">
        <w:rPr>
          <w:b/>
          <w:bCs/>
        </w:rPr>
        <w:t>nadr</w:t>
      </w:r>
      <w:r>
        <w:rPr>
          <w:b/>
          <w:bCs/>
        </w:rPr>
        <w:t xml:space="preserve">abiamy w dużej mierze </w:t>
      </w:r>
      <w:r w:rsidR="0002526F" w:rsidRPr="0002526F">
        <w:rPr>
          <w:b/>
          <w:bCs/>
        </w:rPr>
        <w:t xml:space="preserve">stracony </w:t>
      </w:r>
      <w:r>
        <w:rPr>
          <w:b/>
          <w:bCs/>
        </w:rPr>
        <w:t>2020 rok</w:t>
      </w:r>
      <w:r w:rsidR="0002526F" w:rsidRPr="0002526F">
        <w:rPr>
          <w:b/>
          <w:bCs/>
        </w:rPr>
        <w:t>.</w:t>
      </w:r>
    </w:p>
    <w:p w14:paraId="40BE3780" w14:textId="110C401F" w:rsidR="004F1DCB" w:rsidRDefault="001B1327">
      <w:r>
        <w:t xml:space="preserve">Tak wielu chętnych na kredyty mieszkaniowe trudno było </w:t>
      </w:r>
      <w:r w:rsidR="004F1DCB">
        <w:t xml:space="preserve">się </w:t>
      </w:r>
      <w:r>
        <w:t xml:space="preserve">spodziewać. W samym tylko marcu po pieniądze na zakup mieszkania poszło do banku ponad 56 tys. rodaków. </w:t>
      </w:r>
      <w:r w:rsidR="00F60A6B">
        <w:t>Tak wielu chętnych na hipoteki nie było od 10 lat</w:t>
      </w:r>
      <w:r w:rsidR="00A3725F">
        <w:t xml:space="preserve"> – wynika z danych BIK</w:t>
      </w:r>
      <w:r w:rsidR="00F60A6B">
        <w:t>. Wtedy jednak przeciętny kredyt zaciągaliśmy na około 210-215 tysięcy złotych, a dziś średnia wnioskowana hipoteka opiewa na 315,5 tys. złotych. Gdy przemnożymy liczbę chętnych przez to ile chcieliby pożyczyć, to okaże się, że w marcu zgłosiliśmy się do banków po najwięcej pieniędzy na zakup mieszkań w historii.</w:t>
      </w:r>
      <w:r w:rsidR="004F1DCB">
        <w:t xml:space="preserve"> </w:t>
      </w:r>
    </w:p>
    <w:p w14:paraId="76486696" w14:textId="4BC85B7F" w:rsidR="004F1DCB" w:rsidRPr="004F1DCB" w:rsidRDefault="00C22612">
      <w:pPr>
        <w:rPr>
          <w:b/>
          <w:bCs/>
        </w:rPr>
      </w:pPr>
      <w:r>
        <w:rPr>
          <w:b/>
          <w:bCs/>
        </w:rPr>
        <w:t>Więcej chętnych na wyższe kwoty</w:t>
      </w:r>
    </w:p>
    <w:p w14:paraId="362BFBC5" w14:textId="0D5E9F88" w:rsidR="004F1DCB" w:rsidRDefault="004F1DCB" w:rsidP="004F1DCB">
      <w:r>
        <w:t xml:space="preserve">Nie dziwne więc, że najnowsze dane BIK pokazują prawie 37-proc. wzrost </w:t>
      </w:r>
      <w:r w:rsidRPr="00720EFB">
        <w:t>popyt</w:t>
      </w:r>
      <w:r>
        <w:t>u</w:t>
      </w:r>
      <w:r w:rsidRPr="00720EFB">
        <w:t xml:space="preserve"> na kredyty mieszkaniowe</w:t>
      </w:r>
      <w:r>
        <w:t xml:space="preserve"> względem marca 2020 roku</w:t>
      </w:r>
      <w:r w:rsidRPr="00720EFB">
        <w:t xml:space="preserve">. </w:t>
      </w:r>
      <w:r>
        <w:t xml:space="preserve">Jest to </w:t>
      </w:r>
      <w:r w:rsidR="00CA4925">
        <w:t xml:space="preserve">przede wszystkim </w:t>
      </w:r>
      <w:r>
        <w:t>efekt rosnącej liczby chętnych na hipoteczne długi (o 35% r/r)</w:t>
      </w:r>
      <w:r w:rsidR="00CA4925">
        <w:t xml:space="preserve">. </w:t>
      </w:r>
      <w:r w:rsidR="00C22612">
        <w:t xml:space="preserve">Nie bez znaczenia jest też to, że rośnie kwota, którą rodacy chcą pożyczać (o 5,9% r/r). Odczyt indeksu odrobinę zaniża to, że w marcu mieliśmy więcej niż przed rokiem dni roboczych, a BIK dane o popycie </w:t>
      </w:r>
      <w:r w:rsidR="00A3725F">
        <w:t xml:space="preserve">w ramach swojego badania przelicza </w:t>
      </w:r>
      <w:r w:rsidR="00C22612">
        <w:t xml:space="preserve">właśnie na dni robocze. </w:t>
      </w:r>
      <w:r>
        <w:t xml:space="preserve"> </w:t>
      </w:r>
    </w:p>
    <w:p w14:paraId="48B10670" w14:textId="4A91068A" w:rsidR="004F1DCB" w:rsidRDefault="004F1DCB">
      <w:r>
        <w:rPr>
          <w:noProof/>
        </w:rPr>
        <w:drawing>
          <wp:inline distT="0" distB="0" distL="0" distR="0" wp14:anchorId="38B4BD04" wp14:editId="11D7F9D6">
            <wp:extent cx="5760720" cy="3681454"/>
            <wp:effectExtent l="0" t="0" r="0" b="14605"/>
            <wp:docPr id="5" name="Wykres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5BCA4224" w14:textId="77777777" w:rsidR="00C22612" w:rsidRPr="004F1DCB" w:rsidRDefault="00C22612" w:rsidP="00C22612">
      <w:pPr>
        <w:rPr>
          <w:b/>
          <w:bCs/>
        </w:rPr>
      </w:pPr>
      <w:r w:rsidRPr="004F1DCB">
        <w:rPr>
          <w:b/>
          <w:bCs/>
        </w:rPr>
        <w:t>Popyt na hipoteki wystrzelił</w:t>
      </w:r>
    </w:p>
    <w:p w14:paraId="7442D66F" w14:textId="77777777" w:rsidR="00A3725F" w:rsidRDefault="004F1DCB">
      <w:r>
        <w:t xml:space="preserve">Aby pokazać ogrom </w:t>
      </w:r>
      <w:r w:rsidR="00A3725F">
        <w:t xml:space="preserve">marcowego </w:t>
      </w:r>
      <w:r>
        <w:t xml:space="preserve">popytu, można powiedzieć, że w samym tylko </w:t>
      </w:r>
      <w:r w:rsidR="00A3725F">
        <w:t xml:space="preserve">ubiegłym miesiącu </w:t>
      </w:r>
      <w:r>
        <w:t xml:space="preserve">Polacy zgłosili się po większą kwotę </w:t>
      </w:r>
      <w:r w:rsidR="00C22612">
        <w:t xml:space="preserve">na zakup mieszkań </w:t>
      </w:r>
      <w:r>
        <w:t xml:space="preserve">(ponad 17 miliardów) niż ta, na którą opiewała sprzedaż hipotek w całym kwartale tuż przed epidemią czy </w:t>
      </w:r>
      <w:r w:rsidR="00A3725F">
        <w:t xml:space="preserve">nawet </w:t>
      </w:r>
      <w:r>
        <w:t>w rekordowym trzecim kwartale 2008 roku.</w:t>
      </w:r>
      <w:r w:rsidR="00C22612">
        <w:t xml:space="preserve"> </w:t>
      </w:r>
    </w:p>
    <w:p w14:paraId="409517CE" w14:textId="46A39839" w:rsidR="001B1327" w:rsidRDefault="00C22612">
      <w:r>
        <w:lastRenderedPageBreak/>
        <w:t xml:space="preserve">Oczywiście nie wszyscy swoje upragnione długi dostaną. Banki akceptują tylko część składanych wniosków. I choć w ostatnich miesiącach coraz większa część wnioskujących mogła zaciągnąć długi, to i tak trzeba mieć świadomość, że </w:t>
      </w:r>
      <w:r w:rsidR="00A3725F">
        <w:t xml:space="preserve">co do zasady </w:t>
      </w:r>
      <w:r>
        <w:t xml:space="preserve">około 40-50% chętnych kredytu </w:t>
      </w:r>
      <w:r w:rsidR="00A3725F">
        <w:t xml:space="preserve">finalnie </w:t>
      </w:r>
      <w:r>
        <w:t xml:space="preserve">nie </w:t>
      </w:r>
      <w:r w:rsidR="00A3725F">
        <w:t>zaciąga</w:t>
      </w:r>
      <w:r>
        <w:t>.</w:t>
      </w:r>
    </w:p>
    <w:p w14:paraId="65885ADB" w14:textId="62375A03" w:rsidR="001B1327" w:rsidRDefault="004F1DCB">
      <w:r>
        <w:rPr>
          <w:noProof/>
        </w:rPr>
        <w:drawing>
          <wp:inline distT="0" distB="0" distL="0" distR="0" wp14:anchorId="00851BDB" wp14:editId="2598320E">
            <wp:extent cx="5760720" cy="3256915"/>
            <wp:effectExtent l="0" t="0" r="0" b="635"/>
            <wp:docPr id="4" name="Wykres 4">
              <a:extLst xmlns:a="http://schemas.openxmlformats.org/drawingml/2006/main">
                <a:ext uri="{FF2B5EF4-FFF2-40B4-BE49-F238E27FC236}">
                  <a16:creationId xmlns:a16="http://schemas.microsoft.com/office/drawing/2014/main" id="{162E4729-032D-478F-A574-25ED50D0D59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B84CB39" w14:textId="7DAB6D93" w:rsidR="00C22612" w:rsidRPr="00892239" w:rsidRDefault="00892239">
      <w:pPr>
        <w:rPr>
          <w:b/>
          <w:bCs/>
        </w:rPr>
      </w:pPr>
      <w:r w:rsidRPr="00892239">
        <w:rPr>
          <w:b/>
          <w:bCs/>
        </w:rPr>
        <w:t>Wszystkie drogi prowadzą do mieszka</w:t>
      </w:r>
      <w:r w:rsidR="00271334">
        <w:rPr>
          <w:b/>
          <w:bCs/>
        </w:rPr>
        <w:t>ń</w:t>
      </w:r>
    </w:p>
    <w:p w14:paraId="10B4D2C1" w14:textId="446B7BF0" w:rsidR="00892239" w:rsidRDefault="001B1327" w:rsidP="00892239">
      <w:r>
        <w:t xml:space="preserve">Powodów aż tak dużego zainteresowania kredytami mieszkaniowymi jest kilka i trudno dziś wyrokować, który z nich jest dominujący. </w:t>
      </w:r>
      <w:r w:rsidR="00892239">
        <w:t xml:space="preserve">Bez wątpienia ważne jest to, że jesteśmy dziś świadkami </w:t>
      </w:r>
      <w:r w:rsidR="007F3FE9">
        <w:t xml:space="preserve">realizacji </w:t>
      </w:r>
      <w:r w:rsidR="00892239">
        <w:t xml:space="preserve">odkładanego przez wiele miesięcy popytu. Chodzi o osoby, które w 2020 roku musiały odłożyć swoje aspiracje i marzenia o własnym „M”. Dziś o kredyty jest znowu łatwiej – większość banków akceptuje wnioski od osób posiadających w gotówce 10% ceny mieszkania, a i przychylniejszym okiem analitycy bankowi patrzą na zarobki osób zatrudnionych na tzw. śmieciówkach czy tych pozostających na samozatrudnieniu. Dlatego znowu więcej osób próbuje zadłużyć się na zakup mieszkania. Jest </w:t>
      </w:r>
      <w:r w:rsidR="00A3725F">
        <w:t>wśród nich</w:t>
      </w:r>
      <w:r w:rsidR="00892239">
        <w:t xml:space="preserve"> potężna grupa rodaków, którym w ubiegły roku hipotek odmówiono.</w:t>
      </w:r>
    </w:p>
    <w:p w14:paraId="6FE696E3" w14:textId="55EE987C" w:rsidR="001B1327" w:rsidRDefault="00892239" w:rsidP="00892239">
      <w:r>
        <w:t>Nie bez znaczenia są też przyzwoite wyniki Polskiej gospodarki, niezła sytuacja na rynku pracy i duże nadzieje na rychłą poprawę koniunktury. Przy tym oczywiście, aby te nadzieje się ziściły, niezbędne jest skuteczne wychodzenie z epidemicznych ograniczeń.</w:t>
      </w:r>
    </w:p>
    <w:p w14:paraId="6C63F3F1" w14:textId="363184FC" w:rsidR="001B1327" w:rsidRDefault="00E005AD">
      <w:r>
        <w:t>Oliwy do ognia dolewa r</w:t>
      </w:r>
      <w:r w:rsidR="001B1327">
        <w:t>ekordowo tani kredyt</w:t>
      </w:r>
      <w:r>
        <w:t xml:space="preserve">. Dziś przeciętna nowa hipoteka jest oprocentowana na </w:t>
      </w:r>
      <w:r w:rsidR="00474557">
        <w:t>2,8%</w:t>
      </w:r>
      <w:r>
        <w:t xml:space="preserve">. Na początku 2020 roku na takich warunkach zakładaliśmy lokaty. A skoro już o depozytach mowa, to w nich także drzemie jeden z powodów dużego popytu na mieszkania. Przy niemal nieoprocentowanych </w:t>
      </w:r>
      <w:r w:rsidR="00474557">
        <w:t>lokatach</w:t>
      </w:r>
      <w:r>
        <w:t xml:space="preserve"> coraz więcej osób zastanawia się nad tym gdzie mogą zarobić więcej. Rozwiązaniem tej zagwozdki naturalnie są nieruchomości, na których można sensownie zarobić – o ile zainwestujemy w sposób racjonalny. Wciąż bowiem na wynajmie standardowego mieszkania w dużym mieście można zarobić około 4% jego wartości w skali roku i to już „na rękę”. </w:t>
      </w:r>
    </w:p>
    <w:p w14:paraId="37422EFA" w14:textId="5461A890" w:rsidR="001F08EF" w:rsidRDefault="00E005AD">
      <w:r>
        <w:t xml:space="preserve">Nieruchomości – o ile inwestujemy w nie na dłuższy czas – mają też historycznie udowodnioną zdolność do ochrony kapitału przed inflacją. </w:t>
      </w:r>
      <w:r w:rsidR="001F08EF">
        <w:t>Mieszkania w dłuższym terminie powinny bowiem drożeć o 1-2 pkt. proc. rocznie szybciej niż rosną przeciętne ceny w sklepach.</w:t>
      </w:r>
      <w:r w:rsidR="00474557">
        <w:t xml:space="preserve"> </w:t>
      </w:r>
      <w:r w:rsidR="001F08EF">
        <w:t xml:space="preserve">I choć potencjalny </w:t>
      </w:r>
      <w:r w:rsidR="001F08EF">
        <w:lastRenderedPageBreak/>
        <w:t xml:space="preserve">wzrost wartości nieruchomości nie powinien być powodem do inwestowania na tym rynku, to </w:t>
      </w:r>
      <w:r w:rsidR="00474557">
        <w:t xml:space="preserve">przecież nie ma co ukrywać, że dziś </w:t>
      </w:r>
      <w:r w:rsidR="001F08EF">
        <w:t xml:space="preserve">i ten argument zdaje się za mieszkaniami przemawiać. </w:t>
      </w:r>
    </w:p>
    <w:p w14:paraId="05566D0D" w14:textId="0E908071" w:rsidR="0011593D" w:rsidRDefault="001F08EF">
      <w:r>
        <w:rPr>
          <w:noProof/>
        </w:rPr>
        <w:drawing>
          <wp:inline distT="0" distB="0" distL="0" distR="0" wp14:anchorId="589C2227" wp14:editId="72BCF506">
            <wp:extent cx="5753100" cy="3157220"/>
            <wp:effectExtent l="0" t="0" r="0" b="5080"/>
            <wp:docPr id="6" name="Wykres 6">
              <a:extLst xmlns:a="http://schemas.openxmlformats.org/drawingml/2006/main">
                <a:ext uri="{FF2B5EF4-FFF2-40B4-BE49-F238E27FC236}">
                  <a16:creationId xmlns:a16="http://schemas.microsoft.com/office/drawing/2014/main" id="{4BF98160-27E1-4E35-B4EF-A179C8266CD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FC6E30B" w14:textId="2E920EFA" w:rsidR="00BD6213" w:rsidRDefault="001F08EF">
      <w:pPr>
        <w:rPr>
          <w:b/>
          <w:bCs/>
        </w:rPr>
      </w:pPr>
      <w:r>
        <w:rPr>
          <w:b/>
          <w:bCs/>
        </w:rPr>
        <w:t>To nie koniec dobrych danych</w:t>
      </w:r>
    </w:p>
    <w:p w14:paraId="5863CF2B" w14:textId="25AEA1C2" w:rsidR="001F08EF" w:rsidRDefault="001F08EF">
      <w:r>
        <w:t xml:space="preserve">Jest niemal pewne, że kolejne miesiące przyniosą kolejne dobre dane na temat popytu na kredyty mieszkaniowe. Wciąż w mocy powinny </w:t>
      </w:r>
      <w:r w:rsidR="00586C8F">
        <w:t>pozostać</w:t>
      </w:r>
      <w:r>
        <w:t xml:space="preserve"> powody zarysowane powyżej, a do tego czeka nas efekt niskiej bazy. </w:t>
      </w:r>
    </w:p>
    <w:p w14:paraId="2F5180C5" w14:textId="422675E0" w:rsidR="00BD6213" w:rsidRDefault="003073B3">
      <w:r>
        <w:t>Przypomnijmy, że rok temu w okresie od marca do sierpnia mieliśmy do czynienia z</w:t>
      </w:r>
      <w:r w:rsidR="00DF0BBE">
        <w:t xml:space="preserve"> wyraźnie słabszym</w:t>
      </w:r>
      <w:r>
        <w:t xml:space="preserve"> popytem na kredyt</w:t>
      </w:r>
      <w:r w:rsidR="00DF0BBE">
        <w:t>y</w:t>
      </w:r>
      <w:r>
        <w:t xml:space="preserve">. Szczególnie </w:t>
      </w:r>
      <w:r w:rsidR="00DF0BBE">
        <w:t xml:space="preserve">złe dane pochodziły z </w:t>
      </w:r>
      <w:r>
        <w:t>kwietni</w:t>
      </w:r>
      <w:r w:rsidR="00DF0BBE">
        <w:t>a</w:t>
      </w:r>
      <w:r>
        <w:t xml:space="preserve"> i maj</w:t>
      </w:r>
      <w:r w:rsidR="00DF0BBE">
        <w:t>a</w:t>
      </w:r>
      <w:r>
        <w:t>. Wtedy popyt na kredyty spadł o około ¼</w:t>
      </w:r>
      <w:r w:rsidR="00DF0BBE">
        <w:t xml:space="preserve"> (r/r)</w:t>
      </w:r>
      <w:r>
        <w:t xml:space="preserve">. </w:t>
      </w:r>
      <w:r w:rsidR="008328FB">
        <w:t>W efekcie p</w:t>
      </w:r>
      <w:r>
        <w:t>orównując tegoroczne wyniki</w:t>
      </w:r>
      <w:r w:rsidR="008328FB">
        <w:t>,</w:t>
      </w:r>
      <w:r>
        <w:t xml:space="preserve"> do tych </w:t>
      </w:r>
      <w:r w:rsidR="00DF0BBE">
        <w:t xml:space="preserve">słabych </w:t>
      </w:r>
      <w:r>
        <w:t xml:space="preserve">sprzed roku, możemy być świadkami </w:t>
      </w:r>
      <w:r w:rsidR="001F08EF">
        <w:t xml:space="preserve">bardzo </w:t>
      </w:r>
      <w:r>
        <w:t xml:space="preserve">dynamicznego wzrostu popytu na </w:t>
      </w:r>
      <w:r w:rsidR="008328FB">
        <w:t>mieszkaniowe długi</w:t>
      </w:r>
      <w:r>
        <w:t>.</w:t>
      </w:r>
    </w:p>
    <w:p w14:paraId="50D40CFD" w14:textId="252C754E" w:rsidR="001F08EF" w:rsidRDefault="001F08EF">
      <w:r>
        <w:t>Napływające z rynku dane sugerują, że coraz mniej do powiedzenia ma tu epidemia. Pomimo tego, że</w:t>
      </w:r>
      <w:r w:rsidR="00BD6213">
        <w:t xml:space="preserve"> jesteśmy świadkami trzeciej fali </w:t>
      </w:r>
      <w:proofErr w:type="spellStart"/>
      <w:r w:rsidR="00586C8F">
        <w:t>zachorowań</w:t>
      </w:r>
      <w:proofErr w:type="spellEnd"/>
      <w:r w:rsidR="007F3FE9">
        <w:t>, to</w:t>
      </w:r>
      <w:r>
        <w:t xml:space="preserve"> popyt na kredyty mieszkaniowe bije kolejne rekordy</w:t>
      </w:r>
      <w:r w:rsidR="00BD6213">
        <w:t>.</w:t>
      </w:r>
      <w:r>
        <w:t xml:space="preserve"> Oczywiście warto mieć tu pewną dozę pokory, ale j</w:t>
      </w:r>
      <w:r w:rsidR="00BD6213">
        <w:t xml:space="preserve">uż przykład drugiej fali </w:t>
      </w:r>
      <w:proofErr w:type="spellStart"/>
      <w:r w:rsidR="00BD6213">
        <w:t>zachorowań</w:t>
      </w:r>
      <w:proofErr w:type="spellEnd"/>
      <w:r w:rsidR="00BD6213">
        <w:t xml:space="preserve"> pokazał, że reakcja na kolejne doniesienia o postępach epidemii, wywołują coraz mniej gwałtowną reakcję społeczeństwa.</w:t>
      </w:r>
      <w:r w:rsidR="003073B3">
        <w:t xml:space="preserve"> Podczas gdy na wiosnę 2020 roku wiele osób paraliżował strach, to już druga fala przyniosła jedynie większą ostrożność.</w:t>
      </w:r>
    </w:p>
    <w:p w14:paraId="30BBC0C7" w14:textId="4D26493A" w:rsidR="00BD6213" w:rsidRPr="00BD6213" w:rsidRDefault="00BD6213">
      <w:pPr>
        <w:rPr>
          <w:b/>
          <w:bCs/>
        </w:rPr>
      </w:pPr>
      <w:r w:rsidRPr="00BD6213">
        <w:rPr>
          <w:b/>
          <w:bCs/>
        </w:rPr>
        <w:t>Nie zadłużajmy się do granic możliwości</w:t>
      </w:r>
    </w:p>
    <w:p w14:paraId="368893DA" w14:textId="7CAF4CC5" w:rsidR="00BD6213" w:rsidRDefault="008B488D">
      <w:r>
        <w:t xml:space="preserve">Przy tym trzeba podkreślić, </w:t>
      </w:r>
      <w:r w:rsidR="00586C8F">
        <w:t>że</w:t>
      </w:r>
      <w:r w:rsidR="00480452">
        <w:t xml:space="preserve"> zadłużają</w:t>
      </w:r>
      <w:r w:rsidR="00586C8F">
        <w:t>c</w:t>
      </w:r>
      <w:r w:rsidR="00480452">
        <w:t xml:space="preserve"> się dziś</w:t>
      </w:r>
      <w:r w:rsidR="00586C8F">
        <w:t xml:space="preserve">, warto robić to </w:t>
      </w:r>
      <w:r w:rsidR="00480452">
        <w:t xml:space="preserve">ostrożnie. </w:t>
      </w:r>
      <w:r w:rsidR="00586C8F">
        <w:t>Dlaczego? Otóż m</w:t>
      </w:r>
      <w:r w:rsidR="00480452">
        <w:t>amy niemal pewność, że kredyt</w:t>
      </w:r>
      <w:r w:rsidR="00586C8F">
        <w:t>y</w:t>
      </w:r>
      <w:r w:rsidR="00480452">
        <w:t xml:space="preserve"> z czasem zdrożej</w:t>
      </w:r>
      <w:r w:rsidR="00586C8F">
        <w:t>ą</w:t>
      </w:r>
      <w:r w:rsidR="00480452">
        <w:t xml:space="preserve">. Powinno tak być, bo Rada Polityki Pieniężnej zacznie kiedyś </w:t>
      </w:r>
      <w:r w:rsidR="00955A9D">
        <w:t xml:space="preserve">w końcu </w:t>
      </w:r>
      <w:r w:rsidR="00480452">
        <w:t>podnosić stopy procentowe. Gdy tak się stanie, to oprocentowanie prawie wszystkich złotowych kredytów mieszkaniowych wzrośnie, a wraz z nim wzrosną też raty.</w:t>
      </w:r>
    </w:p>
    <w:p w14:paraId="365B4B36" w14:textId="359CFDEA" w:rsidR="00480452" w:rsidRDefault="00480452">
      <w:r>
        <w:t>Dzisiejsze prognozy sugerują jednak, że do zmian tych będzie dochodziło stopniowo. W efekcie jeśli ktoś ma dziś kredyt na 300 tys. złotych i 25 lat, to może się cieszyć rat</w:t>
      </w:r>
      <w:r w:rsidR="00931C29">
        <w:t>ą</w:t>
      </w:r>
      <w:r>
        <w:t xml:space="preserve"> na poziomie </w:t>
      </w:r>
      <w:r w:rsidR="00955A9D">
        <w:t>około</w:t>
      </w:r>
      <w:r>
        <w:t xml:space="preserve"> 1400 złotych miesięcznie. Podobnie </w:t>
      </w:r>
      <w:r w:rsidR="00931C29">
        <w:t xml:space="preserve">ma być </w:t>
      </w:r>
      <w:r>
        <w:t xml:space="preserve">w roku kolejnym. Dopiero za dwa lata </w:t>
      </w:r>
      <w:r w:rsidR="00931C29">
        <w:t xml:space="preserve">comiesięczna rata powinna być o </w:t>
      </w:r>
      <w:r w:rsidR="00205D51">
        <w:t xml:space="preserve">około </w:t>
      </w:r>
      <w:r w:rsidR="00931C29">
        <w:t>100 złotych wyższa niż dziś. W roku 2025 możemy się za to spodziewać oddawania do banku po około 1,6</w:t>
      </w:r>
      <w:r w:rsidR="00205D51">
        <w:t>-1,7</w:t>
      </w:r>
      <w:r w:rsidR="00931C29">
        <w:t xml:space="preserve"> tys. złotych miesięcznie. Ostatecznie dzisiejsze prognozy </w:t>
      </w:r>
      <w:r w:rsidR="00931C29">
        <w:lastRenderedPageBreak/>
        <w:t xml:space="preserve">sugerują, że w 2031 roku będziemy musieli oddawać o </w:t>
      </w:r>
      <w:r>
        <w:t xml:space="preserve">około 300-400 złotych </w:t>
      </w:r>
      <w:r w:rsidR="00931C29">
        <w:t>więcej niż dziś</w:t>
      </w:r>
      <w:r>
        <w:t>.</w:t>
      </w:r>
      <w:r w:rsidR="00931C29">
        <w:t xml:space="preserve"> Tak przynajmniej wynika z aktualnych notowań kontraktów terminowych.</w:t>
      </w:r>
    </w:p>
    <w:p w14:paraId="373034D4" w14:textId="3F860E0F" w:rsidR="00480452" w:rsidRDefault="00586C8F">
      <w:r>
        <w:rPr>
          <w:noProof/>
        </w:rPr>
        <w:drawing>
          <wp:inline distT="0" distB="0" distL="0" distR="0" wp14:anchorId="14D63AC1" wp14:editId="2721E619">
            <wp:extent cx="5676900" cy="3528695"/>
            <wp:effectExtent l="0" t="0" r="0" b="14605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4CCFD0A9-4060-4DBB-9E99-F8FBBE265CB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7DA20CF" w14:textId="67E46377" w:rsidR="00480452" w:rsidRDefault="00931C29">
      <w:r>
        <w:t>Optymista powiedziałby, że j</w:t>
      </w:r>
      <w:r w:rsidR="00480452">
        <w:t xml:space="preserve">est duża szansa na to, że wynagrodzenia – przynajmniej te średnie raportowane przez GUS - będą rosły </w:t>
      </w:r>
      <w:r w:rsidR="00205D51">
        <w:t xml:space="preserve">znacznie </w:t>
      </w:r>
      <w:r w:rsidR="00480452">
        <w:t xml:space="preserve">szybciej niż raty. </w:t>
      </w:r>
      <w:r w:rsidR="00205D51">
        <w:t>Przecież z najnowszej projekcji inflacji i PKB przygotowanej przez analityków NBP wynika, że pensje powinny w latach 20</w:t>
      </w:r>
      <w:r w:rsidR="00B660BF">
        <w:t>2</w:t>
      </w:r>
      <w:r w:rsidR="00205D51">
        <w:t xml:space="preserve">1-23 rosnąć o 6,2-7,5% rocznie. </w:t>
      </w:r>
      <w:r w:rsidR="00480452">
        <w:t>Nie zmienia to faktu, że zaciągając dziś kredyt warto nie wykorzystywać do cna posiadanej zdolności k</w:t>
      </w:r>
      <w:r>
        <w:t>r</w:t>
      </w:r>
      <w:r w:rsidR="00480452">
        <w:t>edytowej</w:t>
      </w:r>
      <w:r w:rsidR="00692FC1">
        <w:t xml:space="preserve"> i </w:t>
      </w:r>
      <w:r w:rsidR="00480452">
        <w:t>zachować część posiadanej gotówki jako poduszk</w:t>
      </w:r>
      <w:r>
        <w:t>ę</w:t>
      </w:r>
      <w:r w:rsidR="00480452">
        <w:t xml:space="preserve"> finansow</w:t>
      </w:r>
      <w:r>
        <w:t>ą</w:t>
      </w:r>
      <w:r w:rsidR="00480452">
        <w:t xml:space="preserve"> na czarna godzinę</w:t>
      </w:r>
      <w:r>
        <w:t xml:space="preserve">. Dobrym pomysłem jest też </w:t>
      </w:r>
      <w:r w:rsidR="00480452">
        <w:t>tak</w:t>
      </w:r>
      <w:r>
        <w:t>ie</w:t>
      </w:r>
      <w:r w:rsidR="00480452">
        <w:t xml:space="preserve"> planowa</w:t>
      </w:r>
      <w:r>
        <w:t>nie</w:t>
      </w:r>
      <w:r w:rsidR="00480452">
        <w:t xml:space="preserve"> domow</w:t>
      </w:r>
      <w:r>
        <w:t>ego</w:t>
      </w:r>
      <w:r w:rsidR="00480452">
        <w:t xml:space="preserve"> budżet</w:t>
      </w:r>
      <w:r>
        <w:t>u</w:t>
      </w:r>
      <w:r w:rsidR="00480452">
        <w:t>, aby po opłaceniu wszy</w:t>
      </w:r>
      <w:r>
        <w:t>s</w:t>
      </w:r>
      <w:r w:rsidR="00480452">
        <w:t xml:space="preserve">tkich kosztów, rachunków i rat pozostawić sobie część pensji, którą będzie można zaoszczędzić. </w:t>
      </w:r>
      <w:r>
        <w:t xml:space="preserve">Im ta kwota będzie wyższa, tym nasz domowy budżet będzie lepiej przygotowany na scenariusze gorsze niż </w:t>
      </w:r>
      <w:r w:rsidR="00BA416E">
        <w:t xml:space="preserve">te, które </w:t>
      </w:r>
      <w:r>
        <w:t>sugerują dzisiejsze prognozy.</w:t>
      </w:r>
    </w:p>
    <w:p w14:paraId="56D6895B" w14:textId="668A479F" w:rsidR="00314CD1" w:rsidRPr="00720EFB" w:rsidRDefault="001708A9">
      <w:r>
        <w:t>Bartosz Turek, główny analityk HRE Investments</w:t>
      </w:r>
    </w:p>
    <w:sectPr w:rsidR="00314CD1" w:rsidRPr="00720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AA320" w14:textId="77777777" w:rsidR="00E907DE" w:rsidRDefault="00E907DE" w:rsidP="0002526F">
      <w:pPr>
        <w:spacing w:after="0" w:line="240" w:lineRule="auto"/>
      </w:pPr>
      <w:r>
        <w:separator/>
      </w:r>
    </w:p>
  </w:endnote>
  <w:endnote w:type="continuationSeparator" w:id="0">
    <w:p w14:paraId="42383DF4" w14:textId="77777777" w:rsidR="00E907DE" w:rsidRDefault="00E907DE" w:rsidP="0002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5E6FD" w14:textId="77777777" w:rsidR="00E907DE" w:rsidRDefault="00E907DE" w:rsidP="0002526F">
      <w:pPr>
        <w:spacing w:after="0" w:line="240" w:lineRule="auto"/>
      </w:pPr>
      <w:r>
        <w:separator/>
      </w:r>
    </w:p>
  </w:footnote>
  <w:footnote w:type="continuationSeparator" w:id="0">
    <w:p w14:paraId="3889AFA9" w14:textId="77777777" w:rsidR="00E907DE" w:rsidRDefault="00E907DE" w:rsidP="000252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26F"/>
    <w:rsid w:val="0002526F"/>
    <w:rsid w:val="00032B20"/>
    <w:rsid w:val="0011593D"/>
    <w:rsid w:val="0015701D"/>
    <w:rsid w:val="001708A9"/>
    <w:rsid w:val="001B1327"/>
    <w:rsid w:val="001F08EF"/>
    <w:rsid w:val="00205D51"/>
    <w:rsid w:val="002545C3"/>
    <w:rsid w:val="00271334"/>
    <w:rsid w:val="003073B3"/>
    <w:rsid w:val="00314CD1"/>
    <w:rsid w:val="00474557"/>
    <w:rsid w:val="00480452"/>
    <w:rsid w:val="004A57F2"/>
    <w:rsid w:val="004F1DCB"/>
    <w:rsid w:val="00586C8F"/>
    <w:rsid w:val="005C56FC"/>
    <w:rsid w:val="006163B2"/>
    <w:rsid w:val="00675435"/>
    <w:rsid w:val="00692FC1"/>
    <w:rsid w:val="00720EFB"/>
    <w:rsid w:val="00754030"/>
    <w:rsid w:val="00755753"/>
    <w:rsid w:val="007F3FE9"/>
    <w:rsid w:val="008328FB"/>
    <w:rsid w:val="00892239"/>
    <w:rsid w:val="008B488D"/>
    <w:rsid w:val="00931C29"/>
    <w:rsid w:val="00955A9D"/>
    <w:rsid w:val="00976EF9"/>
    <w:rsid w:val="00A3725F"/>
    <w:rsid w:val="00AF06BE"/>
    <w:rsid w:val="00B660BF"/>
    <w:rsid w:val="00BA416E"/>
    <w:rsid w:val="00BD6213"/>
    <w:rsid w:val="00C22612"/>
    <w:rsid w:val="00CA4925"/>
    <w:rsid w:val="00D22CC6"/>
    <w:rsid w:val="00DF0BBE"/>
    <w:rsid w:val="00E005AD"/>
    <w:rsid w:val="00E907DE"/>
    <w:rsid w:val="00F60A6B"/>
    <w:rsid w:val="00FB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D09D3"/>
  <w15:chartTrackingRefBased/>
  <w15:docId w15:val="{2F1011C4-3395-4669-B508-785D08BD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5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26F"/>
  </w:style>
  <w:style w:type="paragraph" w:styleId="Stopka">
    <w:name w:val="footer"/>
    <w:basedOn w:val="Normalny"/>
    <w:link w:val="StopkaZnak"/>
    <w:uiPriority w:val="99"/>
    <w:unhideWhenUsed/>
    <w:rsid w:val="00025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Bartosz%20Turek\Desktop\Exit\Backup\OF\EXIT\Zanadrze\BIK%20mieszkania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artosz%20Turek\Desktop\Exit\Backup\OF\EXIT\Zanadrze\BIK%20mieszkania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artosz%20Turek\Desktop\Exit\Backup\OF\EXIT\Zanadrze\BIK%20mieszkania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Bartosz%20Turek\Desktop\Exit\HRE\Zanadrze\IRS%20WIBOR%203M.xlsx" TargetMode="Externa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chartUserShapes" Target="../drawings/drawing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9.7571741032370957E-2"/>
          <c:y val="0.16018255105447665"/>
          <c:w val="0.86132567804024496"/>
          <c:h val="0.64597601344242961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D08C5F"/>
            </a:solidFill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D299-478E-9579-DFAA2696CB94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D299-478E-9579-DFAA2696CB94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D299-478E-9579-DFAA2696CB94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D299-478E-9579-DFAA2696CB94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D299-478E-9579-DFAA2696CB94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D299-478E-9579-DFAA2696CB94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D299-478E-9579-DFAA2696CB94}"/>
              </c:ext>
            </c:extLst>
          </c:dPt>
          <c:dPt>
            <c:idx val="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D299-478E-9579-DFAA2696CB94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D299-478E-9579-DFAA2696CB94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D299-478E-9579-DFAA2696CB94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D299-478E-9579-DFAA2696CB94}"/>
              </c:ext>
            </c:extLst>
          </c:dPt>
          <c:dPt>
            <c:idx val="1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D299-478E-9579-DFAA2696CB94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D299-478E-9579-DFAA2696CB94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D299-478E-9579-DFAA2696CB94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D299-478E-9579-DFAA2696CB94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D299-478E-9579-DFAA2696CB94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D299-478E-9579-DFAA2696CB94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D299-478E-9579-DFAA2696CB94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D299-478E-9579-DFAA2696CB94}"/>
              </c:ext>
            </c:extLst>
          </c:dPt>
          <c:dPt>
            <c:idx val="2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D299-478E-9579-DFAA2696CB94}"/>
              </c:ext>
            </c:extLst>
          </c:dPt>
          <c:dPt>
            <c:idx val="23"/>
            <c:invertIfNegative val="0"/>
            <c:bubble3D val="0"/>
            <c:spPr>
              <a:solidFill>
                <a:srgbClr val="222839"/>
              </a:solidFill>
            </c:spPr>
            <c:extLst>
              <c:ext xmlns:c16="http://schemas.microsoft.com/office/drawing/2014/chart" uri="{C3380CC4-5D6E-409C-BE32-E72D297353CC}">
                <c16:uniqueId val="{00000015-D299-478E-9579-DFAA2696CB94}"/>
              </c:ext>
            </c:extLst>
          </c:dPt>
          <c:dPt>
            <c:idx val="28"/>
            <c:invertIfNegative val="0"/>
            <c:bubble3D val="0"/>
            <c:spPr>
              <a:solidFill>
                <a:srgbClr val="222839"/>
              </a:solidFill>
            </c:spPr>
            <c:extLst>
              <c:ext xmlns:c16="http://schemas.microsoft.com/office/drawing/2014/chart" uri="{C3380CC4-5D6E-409C-BE32-E72D297353CC}">
                <c16:uniqueId val="{00000017-D299-478E-9579-DFAA2696CB94}"/>
              </c:ext>
            </c:extLst>
          </c:dPt>
          <c:dPt>
            <c:idx val="3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8-D299-478E-9579-DFAA2696CB94}"/>
              </c:ext>
            </c:extLst>
          </c:dPt>
          <c:dPt>
            <c:idx val="3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9-D299-478E-9579-DFAA2696CB94}"/>
              </c:ext>
            </c:extLst>
          </c:dPt>
          <c:dPt>
            <c:idx val="3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A-D299-478E-9579-DFAA2696CB94}"/>
              </c:ext>
            </c:extLst>
          </c:dPt>
          <c:dPt>
            <c:idx val="38"/>
            <c:invertIfNegative val="0"/>
            <c:bubble3D val="0"/>
            <c:spPr>
              <a:solidFill>
                <a:srgbClr val="222839"/>
              </a:solidFill>
            </c:spPr>
            <c:extLst>
              <c:ext xmlns:c16="http://schemas.microsoft.com/office/drawing/2014/chart" uri="{C3380CC4-5D6E-409C-BE32-E72D297353CC}">
                <c16:uniqueId val="{0000001C-D299-478E-9579-DFAA2696CB94}"/>
              </c:ext>
            </c:extLst>
          </c:dPt>
          <c:dPt>
            <c:idx val="39"/>
            <c:invertIfNegative val="0"/>
            <c:bubble3D val="0"/>
            <c:spPr>
              <a:solidFill>
                <a:srgbClr val="222839"/>
              </a:solidFill>
            </c:spPr>
            <c:extLst>
              <c:ext xmlns:c16="http://schemas.microsoft.com/office/drawing/2014/chart" uri="{C3380CC4-5D6E-409C-BE32-E72D297353CC}">
                <c16:uniqueId val="{0000001E-D299-478E-9579-DFAA2696CB94}"/>
              </c:ext>
            </c:extLst>
          </c:dPt>
          <c:dPt>
            <c:idx val="40"/>
            <c:invertIfNegative val="0"/>
            <c:bubble3D val="0"/>
            <c:spPr>
              <a:solidFill>
                <a:srgbClr val="222839"/>
              </a:solidFill>
            </c:spPr>
            <c:extLst>
              <c:ext xmlns:c16="http://schemas.microsoft.com/office/drawing/2014/chart" uri="{C3380CC4-5D6E-409C-BE32-E72D297353CC}">
                <c16:uniqueId val="{00000020-D299-478E-9579-DFAA2696CB94}"/>
              </c:ext>
            </c:extLst>
          </c:dPt>
          <c:dPt>
            <c:idx val="41"/>
            <c:invertIfNegative val="0"/>
            <c:bubble3D val="0"/>
            <c:spPr>
              <a:solidFill>
                <a:srgbClr val="222839"/>
              </a:solidFill>
            </c:spPr>
            <c:extLst>
              <c:ext xmlns:c16="http://schemas.microsoft.com/office/drawing/2014/chart" uri="{C3380CC4-5D6E-409C-BE32-E72D297353CC}">
                <c16:uniqueId val="{00000022-D299-478E-9579-DFAA2696CB94}"/>
              </c:ext>
            </c:extLst>
          </c:dPt>
          <c:dPt>
            <c:idx val="42"/>
            <c:invertIfNegative val="0"/>
            <c:bubble3D val="0"/>
            <c:spPr>
              <a:solidFill>
                <a:srgbClr val="222839"/>
              </a:solidFill>
            </c:spPr>
            <c:extLst>
              <c:ext xmlns:c16="http://schemas.microsoft.com/office/drawing/2014/chart" uri="{C3380CC4-5D6E-409C-BE32-E72D297353CC}">
                <c16:uniqueId val="{00000024-D299-478E-9579-DFAA2696CB94}"/>
              </c:ext>
            </c:extLst>
          </c:dPt>
          <c:dPt>
            <c:idx val="43"/>
            <c:invertIfNegative val="0"/>
            <c:bubble3D val="0"/>
            <c:spPr>
              <a:solidFill>
                <a:srgbClr val="222839"/>
              </a:solidFill>
            </c:spPr>
            <c:extLst>
              <c:ext xmlns:c16="http://schemas.microsoft.com/office/drawing/2014/chart" uri="{C3380CC4-5D6E-409C-BE32-E72D297353CC}">
                <c16:uniqueId val="{00000026-D299-478E-9579-DFAA2696CB94}"/>
              </c:ext>
            </c:extLst>
          </c:dPt>
          <c:dPt>
            <c:idx val="46"/>
            <c:invertIfNegative val="0"/>
            <c:bubble3D val="0"/>
            <c:spPr>
              <a:solidFill>
                <a:srgbClr val="222839"/>
              </a:solidFill>
            </c:spPr>
            <c:extLst>
              <c:ext xmlns:c16="http://schemas.microsoft.com/office/drawing/2014/chart" uri="{C3380CC4-5D6E-409C-BE32-E72D297353CC}">
                <c16:uniqueId val="{00000028-D299-478E-9579-DFAA2696CB94}"/>
              </c:ext>
            </c:extLst>
          </c:dPt>
          <c:dPt>
            <c:idx val="4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9-D299-478E-9579-DFAA2696CB94}"/>
              </c:ext>
            </c:extLst>
          </c:dPt>
          <c:dPt>
            <c:idx val="4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A-D299-478E-9579-DFAA2696CB94}"/>
              </c:ext>
            </c:extLst>
          </c:dPt>
          <c:dPt>
            <c:idx val="4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B-D299-478E-9579-DFAA2696CB94}"/>
              </c:ext>
            </c:extLst>
          </c:dPt>
          <c:dPt>
            <c:idx val="50"/>
            <c:invertIfNegative val="0"/>
            <c:bubble3D val="0"/>
            <c:spPr>
              <a:solidFill>
                <a:srgbClr val="D08C5F"/>
              </a:solid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2D-D299-478E-9579-DFAA2696CB94}"/>
              </c:ext>
            </c:extLst>
          </c:dPt>
          <c:dPt>
            <c:idx val="5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E-D299-478E-9579-DFAA2696CB94}"/>
              </c:ext>
            </c:extLst>
          </c:dPt>
          <c:dPt>
            <c:idx val="5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2F-D299-478E-9579-DFAA2696CB94}"/>
              </c:ext>
            </c:extLst>
          </c:dPt>
          <c:dPt>
            <c:idx val="5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30-D299-478E-9579-DFAA2696CB94}"/>
              </c:ext>
            </c:extLst>
          </c:dPt>
          <c:dPt>
            <c:idx val="5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31-D299-478E-9579-DFAA2696CB94}"/>
              </c:ext>
            </c:extLst>
          </c:dPt>
          <c:dLbls>
            <c:numFmt formatCode="0.0%" sourceLinked="0"/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Arkusz1!$B$40:$B$90</c:f>
              <c:numCache>
                <c:formatCode>mmm\-yy</c:formatCode>
                <c:ptCount val="51"/>
                <c:pt idx="0">
                  <c:v>42736</c:v>
                </c:pt>
                <c:pt idx="1">
                  <c:v>42767</c:v>
                </c:pt>
                <c:pt idx="2">
                  <c:v>42795</c:v>
                </c:pt>
                <c:pt idx="3">
                  <c:v>42826</c:v>
                </c:pt>
                <c:pt idx="4">
                  <c:v>42856</c:v>
                </c:pt>
                <c:pt idx="5">
                  <c:v>42887</c:v>
                </c:pt>
                <c:pt idx="6">
                  <c:v>42917</c:v>
                </c:pt>
                <c:pt idx="7">
                  <c:v>42948</c:v>
                </c:pt>
                <c:pt idx="8">
                  <c:v>42979</c:v>
                </c:pt>
                <c:pt idx="9">
                  <c:v>43009</c:v>
                </c:pt>
                <c:pt idx="10">
                  <c:v>43040</c:v>
                </c:pt>
                <c:pt idx="11">
                  <c:v>43070</c:v>
                </c:pt>
                <c:pt idx="12">
                  <c:v>43101</c:v>
                </c:pt>
                <c:pt idx="13">
                  <c:v>43132</c:v>
                </c:pt>
                <c:pt idx="14">
                  <c:v>43160</c:v>
                </c:pt>
                <c:pt idx="15">
                  <c:v>43191</c:v>
                </c:pt>
                <c:pt idx="16">
                  <c:v>43221</c:v>
                </c:pt>
                <c:pt idx="17">
                  <c:v>43252</c:v>
                </c:pt>
                <c:pt idx="18">
                  <c:v>43282</c:v>
                </c:pt>
                <c:pt idx="19">
                  <c:v>43313</c:v>
                </c:pt>
                <c:pt idx="20">
                  <c:v>43344</c:v>
                </c:pt>
                <c:pt idx="21">
                  <c:v>43374</c:v>
                </c:pt>
                <c:pt idx="22">
                  <c:v>43405</c:v>
                </c:pt>
                <c:pt idx="23">
                  <c:v>43435</c:v>
                </c:pt>
                <c:pt idx="24">
                  <c:v>43466</c:v>
                </c:pt>
                <c:pt idx="25">
                  <c:v>43497</c:v>
                </c:pt>
                <c:pt idx="26">
                  <c:v>43525</c:v>
                </c:pt>
                <c:pt idx="27">
                  <c:v>43556</c:v>
                </c:pt>
                <c:pt idx="28">
                  <c:v>43586</c:v>
                </c:pt>
                <c:pt idx="29">
                  <c:v>43617</c:v>
                </c:pt>
                <c:pt idx="30">
                  <c:v>43647</c:v>
                </c:pt>
                <c:pt idx="31">
                  <c:v>43678</c:v>
                </c:pt>
                <c:pt idx="32">
                  <c:v>43709</c:v>
                </c:pt>
                <c:pt idx="33">
                  <c:v>43739</c:v>
                </c:pt>
                <c:pt idx="34">
                  <c:v>43770</c:v>
                </c:pt>
                <c:pt idx="35">
                  <c:v>43800</c:v>
                </c:pt>
                <c:pt idx="36">
                  <c:v>43831</c:v>
                </c:pt>
                <c:pt idx="37">
                  <c:v>43862</c:v>
                </c:pt>
                <c:pt idx="38">
                  <c:v>43891</c:v>
                </c:pt>
                <c:pt idx="39">
                  <c:v>43922</c:v>
                </c:pt>
                <c:pt idx="40">
                  <c:v>43952</c:v>
                </c:pt>
                <c:pt idx="41">
                  <c:v>43983</c:v>
                </c:pt>
                <c:pt idx="42">
                  <c:v>44013</c:v>
                </c:pt>
                <c:pt idx="43">
                  <c:v>44044</c:v>
                </c:pt>
                <c:pt idx="44">
                  <c:v>44075</c:v>
                </c:pt>
                <c:pt idx="45">
                  <c:v>44105</c:v>
                </c:pt>
                <c:pt idx="46">
                  <c:v>44136</c:v>
                </c:pt>
                <c:pt idx="47">
                  <c:v>44166</c:v>
                </c:pt>
                <c:pt idx="48">
                  <c:v>44197</c:v>
                </c:pt>
                <c:pt idx="49">
                  <c:v>44228</c:v>
                </c:pt>
                <c:pt idx="50">
                  <c:v>44256</c:v>
                </c:pt>
              </c:numCache>
            </c:numRef>
          </c:cat>
          <c:val>
            <c:numRef>
              <c:f>Arkusz1!$C$40:$C$90</c:f>
              <c:numCache>
                <c:formatCode>0.00%</c:formatCode>
                <c:ptCount val="51"/>
                <c:pt idx="0">
                  <c:v>0.41499999999999998</c:v>
                </c:pt>
                <c:pt idx="1">
                  <c:v>6.7000000000000004E-2</c:v>
                </c:pt>
                <c:pt idx="2">
                  <c:v>9.4E-2</c:v>
                </c:pt>
                <c:pt idx="3">
                  <c:v>6.5000000000000002E-2</c:v>
                </c:pt>
                <c:pt idx="4">
                  <c:v>0.10199999999999999</c:v>
                </c:pt>
                <c:pt idx="5">
                  <c:v>0.20399999999999999</c:v>
                </c:pt>
                <c:pt idx="6">
                  <c:v>0.23599999999999999</c:v>
                </c:pt>
                <c:pt idx="7">
                  <c:v>7.3999999999999996E-2</c:v>
                </c:pt>
                <c:pt idx="8">
                  <c:v>3.1E-2</c:v>
                </c:pt>
                <c:pt idx="9">
                  <c:v>0.107</c:v>
                </c:pt>
                <c:pt idx="10">
                  <c:v>4.2999999999999997E-2</c:v>
                </c:pt>
                <c:pt idx="11">
                  <c:v>0.33700000000000002</c:v>
                </c:pt>
                <c:pt idx="12">
                  <c:v>7.400000000000001E-2</c:v>
                </c:pt>
                <c:pt idx="13">
                  <c:v>0.13400000000000001</c:v>
                </c:pt>
                <c:pt idx="14" formatCode="0%">
                  <c:v>0.13</c:v>
                </c:pt>
                <c:pt idx="15">
                  <c:v>0.185</c:v>
                </c:pt>
                <c:pt idx="16">
                  <c:v>0.255</c:v>
                </c:pt>
                <c:pt idx="17">
                  <c:v>0.17199999999999999</c:v>
                </c:pt>
                <c:pt idx="18" formatCode="0%">
                  <c:v>0.2</c:v>
                </c:pt>
                <c:pt idx="19">
                  <c:v>0.28499999999999998</c:v>
                </c:pt>
                <c:pt idx="20">
                  <c:v>0.23599999999999999</c:v>
                </c:pt>
                <c:pt idx="21">
                  <c:v>0.17399999999999999</c:v>
                </c:pt>
                <c:pt idx="22">
                  <c:v>0.23100000000000001</c:v>
                </c:pt>
                <c:pt idx="23">
                  <c:v>-0.249</c:v>
                </c:pt>
                <c:pt idx="24">
                  <c:v>6.9000000000000006E-2</c:v>
                </c:pt>
                <c:pt idx="25">
                  <c:v>0.17599999999999999</c:v>
                </c:pt>
                <c:pt idx="26">
                  <c:v>0.26700000000000002</c:v>
                </c:pt>
                <c:pt idx="27">
                  <c:v>0.16200000000000001</c:v>
                </c:pt>
                <c:pt idx="28" formatCode="0%">
                  <c:v>-0.09</c:v>
                </c:pt>
                <c:pt idx="29">
                  <c:v>0.19600000000000001</c:v>
                </c:pt>
                <c:pt idx="30">
                  <c:v>0.19900000000000001</c:v>
                </c:pt>
                <c:pt idx="31">
                  <c:v>0.13700000000000001</c:v>
                </c:pt>
                <c:pt idx="32">
                  <c:v>0.16</c:v>
                </c:pt>
                <c:pt idx="33">
                  <c:v>0.18099999999999999</c:v>
                </c:pt>
                <c:pt idx="34">
                  <c:v>0.219</c:v>
                </c:pt>
                <c:pt idx="35">
                  <c:v>0.24099999999999999</c:v>
                </c:pt>
                <c:pt idx="36">
                  <c:v>0.245</c:v>
                </c:pt>
                <c:pt idx="37">
                  <c:v>0.27600000000000002</c:v>
                </c:pt>
                <c:pt idx="38">
                  <c:v>-3.1E-2</c:v>
                </c:pt>
                <c:pt idx="39">
                  <c:v>-0.27600000000000002</c:v>
                </c:pt>
                <c:pt idx="40">
                  <c:v>-0.24199999999999999</c:v>
                </c:pt>
                <c:pt idx="41">
                  <c:v>-6.7000000000000004E-2</c:v>
                </c:pt>
                <c:pt idx="42">
                  <c:v>-3.5000000000000003E-2</c:v>
                </c:pt>
                <c:pt idx="43">
                  <c:v>-3.1E-2</c:v>
                </c:pt>
                <c:pt idx="44">
                  <c:v>5.2999999999999999E-2</c:v>
                </c:pt>
                <c:pt idx="45">
                  <c:v>8.1000000000000003E-2</c:v>
                </c:pt>
                <c:pt idx="46">
                  <c:v>-4.3999999999999997E-2</c:v>
                </c:pt>
                <c:pt idx="47">
                  <c:v>6.4000000000000001E-2</c:v>
                </c:pt>
                <c:pt idx="48">
                  <c:v>0.18099999999999999</c:v>
                </c:pt>
                <c:pt idx="49">
                  <c:v>0.17100000000000001</c:v>
                </c:pt>
                <c:pt idx="50">
                  <c:v>0.36799999999999999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32-D299-478E-9579-DFAA2696CB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4121736"/>
        <c:axId val="334126440"/>
      </c:barChart>
      <c:dateAx>
        <c:axId val="334121736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low"/>
        <c:txPr>
          <a:bodyPr rot="-2700000"/>
          <a:lstStyle/>
          <a:p>
            <a:pPr>
              <a:defRPr/>
            </a:pPr>
            <a:endParaRPr lang="pl-PL"/>
          </a:p>
        </c:txPr>
        <c:crossAx val="334126440"/>
        <c:crosses val="autoZero"/>
        <c:auto val="1"/>
        <c:lblOffset val="100"/>
        <c:baseTimeUnit val="months"/>
        <c:majorUnit val="2"/>
        <c:majorTimeUnit val="months"/>
      </c:dateAx>
      <c:valAx>
        <c:axId val="334126440"/>
        <c:scaling>
          <c:orientation val="minMax"/>
          <c:min val="-0.4"/>
        </c:scaling>
        <c:delete val="0"/>
        <c:axPos val="l"/>
        <c:majorGridlines/>
        <c:numFmt formatCode="0%" sourceLinked="0"/>
        <c:majorTickMark val="out"/>
        <c:minorTickMark val="none"/>
        <c:tickLblPos val="nextTo"/>
        <c:crossAx val="334121736"/>
        <c:crosses val="autoZero"/>
        <c:crossBetween val="between"/>
      </c:valAx>
    </c:plotArea>
    <c:plotVisOnly val="1"/>
    <c:dispBlanksAs val="zero"/>
    <c:showDLblsOverMax val="0"/>
  </c:chart>
  <c:spPr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pl-PL" b="1"/>
              <a:t>Indeks popytu na kredyty mieszkaniowe </a:t>
            </a:r>
            <a:r>
              <a:rPr lang="pl-PL" b="0"/>
              <a:t>(sty'19 = 100 pkt.)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5.643746449488142E-2"/>
          <c:y val="0.12978253903659451"/>
          <c:w val="0.92180189907893473"/>
          <c:h val="0.67991135917854872"/>
        </c:manualLayout>
      </c:layout>
      <c:lineChart>
        <c:grouping val="standard"/>
        <c:varyColors val="0"/>
        <c:ser>
          <c:idx val="0"/>
          <c:order val="0"/>
          <c:spPr>
            <a:ln w="38100" cap="rnd">
              <a:solidFill>
                <a:srgbClr val="D08C5F"/>
              </a:solidFill>
              <a:round/>
            </a:ln>
            <a:effectLst/>
          </c:spPr>
          <c:marker>
            <c:symbol val="none"/>
          </c:marker>
          <c:cat>
            <c:numRef>
              <c:f>Arkusz1!$B$64:$B$90</c:f>
              <c:numCache>
                <c:formatCode>mmm\-yy</c:formatCode>
                <c:ptCount val="27"/>
                <c:pt idx="0">
                  <c:v>43466</c:v>
                </c:pt>
                <c:pt idx="1">
                  <c:v>43497</c:v>
                </c:pt>
                <c:pt idx="2">
                  <c:v>43525</c:v>
                </c:pt>
                <c:pt idx="3">
                  <c:v>43556</c:v>
                </c:pt>
                <c:pt idx="4">
                  <c:v>43586</c:v>
                </c:pt>
                <c:pt idx="5">
                  <c:v>43617</c:v>
                </c:pt>
                <c:pt idx="6">
                  <c:v>43647</c:v>
                </c:pt>
                <c:pt idx="7">
                  <c:v>43678</c:v>
                </c:pt>
                <c:pt idx="8">
                  <c:v>43709</c:v>
                </c:pt>
                <c:pt idx="9">
                  <c:v>43739</c:v>
                </c:pt>
                <c:pt idx="10">
                  <c:v>43770</c:v>
                </c:pt>
                <c:pt idx="11">
                  <c:v>43800</c:v>
                </c:pt>
                <c:pt idx="12">
                  <c:v>43831</c:v>
                </c:pt>
                <c:pt idx="13">
                  <c:v>43862</c:v>
                </c:pt>
                <c:pt idx="14">
                  <c:v>43891</c:v>
                </c:pt>
                <c:pt idx="15">
                  <c:v>43922</c:v>
                </c:pt>
                <c:pt idx="16">
                  <c:v>43952</c:v>
                </c:pt>
                <c:pt idx="17">
                  <c:v>43983</c:v>
                </c:pt>
                <c:pt idx="18">
                  <c:v>44013</c:v>
                </c:pt>
                <c:pt idx="19">
                  <c:v>44044</c:v>
                </c:pt>
                <c:pt idx="20">
                  <c:v>44075</c:v>
                </c:pt>
                <c:pt idx="21">
                  <c:v>44105</c:v>
                </c:pt>
                <c:pt idx="22">
                  <c:v>44136</c:v>
                </c:pt>
                <c:pt idx="23">
                  <c:v>44166</c:v>
                </c:pt>
                <c:pt idx="24">
                  <c:v>44197</c:v>
                </c:pt>
                <c:pt idx="25">
                  <c:v>44228</c:v>
                </c:pt>
                <c:pt idx="26">
                  <c:v>44256</c:v>
                </c:pt>
              </c:numCache>
            </c:numRef>
          </c:cat>
          <c:val>
            <c:numRef>
              <c:f>Arkusz1!$J$64:$J$90</c:f>
              <c:numCache>
                <c:formatCode>General</c:formatCode>
                <c:ptCount val="27"/>
                <c:pt idx="0">
                  <c:v>100</c:v>
                </c:pt>
                <c:pt idx="1">
                  <c:v>108.42351701725707</c:v>
                </c:pt>
                <c:pt idx="2">
                  <c:v>134.62823498620133</c:v>
                </c:pt>
                <c:pt idx="3">
                  <c:v>128.1044603706039</c:v>
                </c:pt>
                <c:pt idx="4">
                  <c:v>92.741729028560712</c:v>
                </c:pt>
                <c:pt idx="5">
                  <c:v>107.06908721201897</c:v>
                </c:pt>
                <c:pt idx="6">
                  <c:v>126.7953671232694</c:v>
                </c:pt>
                <c:pt idx="7">
                  <c:v>107.81355639736002</c:v>
                </c:pt>
                <c:pt idx="8">
                  <c:v>109.88796338928186</c:v>
                </c:pt>
                <c:pt idx="9">
                  <c:v>122.09466478438058</c:v>
                </c:pt>
                <c:pt idx="10">
                  <c:v>104.39507625459039</c:v>
                </c:pt>
                <c:pt idx="11">
                  <c:v>97.23409496655016</c:v>
                </c:pt>
                <c:pt idx="12">
                  <c:v>118.50853809095317</c:v>
                </c:pt>
                <c:pt idx="13">
                  <c:v>138.10020575992115</c:v>
                </c:pt>
                <c:pt idx="14">
                  <c:v>136.43149552894096</c:v>
                </c:pt>
                <c:pt idx="15">
                  <c:v>92.696159749243236</c:v>
                </c:pt>
                <c:pt idx="16">
                  <c:v>88.063845520628419</c:v>
                </c:pt>
                <c:pt idx="17">
                  <c:v>110.29120011400042</c:v>
                </c:pt>
                <c:pt idx="18">
                  <c:v>122.31936778746292</c:v>
                </c:pt>
                <c:pt idx="19">
                  <c:v>104.46434120621053</c:v>
                </c:pt>
                <c:pt idx="20">
                  <c:v>121.34591948092756</c:v>
                </c:pt>
                <c:pt idx="21">
                  <c:v>126.24616995424265</c:v>
                </c:pt>
                <c:pt idx="22">
                  <c:v>105.02972409442555</c:v>
                </c:pt>
                <c:pt idx="23">
                  <c:v>113.91125670721591</c:v>
                </c:pt>
                <c:pt idx="24">
                  <c:v>126.61800362637314</c:v>
                </c:pt>
                <c:pt idx="25">
                  <c:v>161.80169168614879</c:v>
                </c:pt>
                <c:pt idx="26">
                  <c:v>195.11192383458271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FAA-45FE-B45E-5CDA78402A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038935199"/>
        <c:axId val="1209266895"/>
      </c:lineChart>
      <c:dateAx>
        <c:axId val="1038935199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209266895"/>
        <c:crosses val="autoZero"/>
        <c:auto val="1"/>
        <c:lblOffset val="100"/>
        <c:baseTimeUnit val="months"/>
      </c:dateAx>
      <c:valAx>
        <c:axId val="1209266895"/>
        <c:scaling>
          <c:orientation val="minMax"/>
          <c:min val="7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03893519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chemeClr val="tx1"/>
          </a:solidFill>
        </a:defRPr>
      </a:pPr>
      <a:endParaRPr lang="pl-PL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664807524059492E-2"/>
          <c:y val="0.18055555555555552"/>
          <c:w val="0.88932152230971129"/>
          <c:h val="0.62707970577076189"/>
        </c:manualLayout>
      </c:layout>
      <c:lineChart>
        <c:grouping val="standard"/>
        <c:varyColors val="0"/>
        <c:ser>
          <c:idx val="0"/>
          <c:order val="0"/>
          <c:tx>
            <c:strRef>
              <c:f>Arkusz5!$C$7</c:f>
              <c:strCache>
                <c:ptCount val="1"/>
                <c:pt idx="0">
                  <c:v>Liczba kredytobiorców wioskujących o kredyt ( w tys.)</c:v>
                </c:pt>
              </c:strCache>
            </c:strRef>
          </c:tx>
          <c:spPr>
            <a:ln w="28575" cap="rnd">
              <a:solidFill>
                <a:srgbClr val="D08C5F"/>
              </a:solidFill>
              <a:round/>
            </a:ln>
            <a:effectLst/>
          </c:spPr>
          <c:marker>
            <c:symbol val="none"/>
          </c:marker>
          <c:cat>
            <c:strRef>
              <c:f>Arkusz5!$B$8:$B$68</c:f>
              <c:strCache>
                <c:ptCount val="61"/>
                <c:pt idx="0">
                  <c:v>sty.16</c:v>
                </c:pt>
                <c:pt idx="1">
                  <c:v>lut.16</c:v>
                </c:pt>
                <c:pt idx="2">
                  <c:v>kwi.16</c:v>
                </c:pt>
                <c:pt idx="3">
                  <c:v>maj.16</c:v>
                </c:pt>
                <c:pt idx="4">
                  <c:v>cze.16</c:v>
                </c:pt>
                <c:pt idx="5">
                  <c:v>lip.16</c:v>
                </c:pt>
                <c:pt idx="6">
                  <c:v>sie.16</c:v>
                </c:pt>
                <c:pt idx="7">
                  <c:v>wrz.16</c:v>
                </c:pt>
                <c:pt idx="8">
                  <c:v>paź.16</c:v>
                </c:pt>
                <c:pt idx="9">
                  <c:v>lis.16</c:v>
                </c:pt>
                <c:pt idx="10">
                  <c:v>gru.16</c:v>
                </c:pt>
                <c:pt idx="11">
                  <c:v>sty.17</c:v>
                </c:pt>
                <c:pt idx="12">
                  <c:v>lut.17</c:v>
                </c:pt>
                <c:pt idx="13">
                  <c:v>mar.17</c:v>
                </c:pt>
                <c:pt idx="14">
                  <c:v>kwi.17</c:v>
                </c:pt>
                <c:pt idx="15">
                  <c:v>maj.17</c:v>
                </c:pt>
                <c:pt idx="16">
                  <c:v>cze.17</c:v>
                </c:pt>
                <c:pt idx="17">
                  <c:v>lip.17</c:v>
                </c:pt>
                <c:pt idx="18">
                  <c:v>sie.17</c:v>
                </c:pt>
                <c:pt idx="19">
                  <c:v>wrz.17</c:v>
                </c:pt>
                <c:pt idx="20">
                  <c:v>paź.17</c:v>
                </c:pt>
                <c:pt idx="21">
                  <c:v>lis.17</c:v>
                </c:pt>
                <c:pt idx="22">
                  <c:v>gru.17</c:v>
                </c:pt>
                <c:pt idx="23">
                  <c:v>sty.18</c:v>
                </c:pt>
                <c:pt idx="24">
                  <c:v>lut.18</c:v>
                </c:pt>
                <c:pt idx="25">
                  <c:v>mar.18</c:v>
                </c:pt>
                <c:pt idx="26">
                  <c:v>kwi.18</c:v>
                </c:pt>
                <c:pt idx="27">
                  <c:v>maj.18</c:v>
                </c:pt>
                <c:pt idx="28">
                  <c:v>cze.18</c:v>
                </c:pt>
                <c:pt idx="29">
                  <c:v>lip.18</c:v>
                </c:pt>
                <c:pt idx="30">
                  <c:v>sie.18</c:v>
                </c:pt>
                <c:pt idx="31">
                  <c:v>wrz.18</c:v>
                </c:pt>
                <c:pt idx="32">
                  <c:v>paź.18</c:v>
                </c:pt>
                <c:pt idx="33">
                  <c:v>lis.18</c:v>
                </c:pt>
                <c:pt idx="34">
                  <c:v>gru.18</c:v>
                </c:pt>
                <c:pt idx="35">
                  <c:v>sty.19</c:v>
                </c:pt>
                <c:pt idx="36">
                  <c:v>lut.19</c:v>
                </c:pt>
                <c:pt idx="37">
                  <c:v>mar.19</c:v>
                </c:pt>
                <c:pt idx="38">
                  <c:v>kwi.19</c:v>
                </c:pt>
                <c:pt idx="39">
                  <c:v>maj.19</c:v>
                </c:pt>
                <c:pt idx="40">
                  <c:v>cze.19</c:v>
                </c:pt>
                <c:pt idx="41">
                  <c:v>lip.19</c:v>
                </c:pt>
                <c:pt idx="42">
                  <c:v>sie.19</c:v>
                </c:pt>
                <c:pt idx="43">
                  <c:v>wrz.19</c:v>
                </c:pt>
                <c:pt idx="44">
                  <c:v>paź.19</c:v>
                </c:pt>
                <c:pt idx="45">
                  <c:v>lis.19</c:v>
                </c:pt>
                <c:pt idx="46">
                  <c:v>gru.19</c:v>
                </c:pt>
                <c:pt idx="47">
                  <c:v>sty.20</c:v>
                </c:pt>
                <c:pt idx="48">
                  <c:v>lut.20</c:v>
                </c:pt>
                <c:pt idx="49">
                  <c:v>kwi.20</c:v>
                </c:pt>
                <c:pt idx="50">
                  <c:v>maj.20</c:v>
                </c:pt>
                <c:pt idx="51">
                  <c:v>cze.20</c:v>
                </c:pt>
                <c:pt idx="52">
                  <c:v>lip.20</c:v>
                </c:pt>
                <c:pt idx="53">
                  <c:v>sie.20</c:v>
                </c:pt>
                <c:pt idx="54">
                  <c:v>wrz.20</c:v>
                </c:pt>
                <c:pt idx="55">
                  <c:v>paź.20</c:v>
                </c:pt>
                <c:pt idx="56">
                  <c:v>lis.20</c:v>
                </c:pt>
                <c:pt idx="57">
                  <c:v>gru.20</c:v>
                </c:pt>
                <c:pt idx="58">
                  <c:v>sty.21</c:v>
                </c:pt>
                <c:pt idx="59">
                  <c:v>lut.21</c:v>
                </c:pt>
                <c:pt idx="60">
                  <c:v>mar.21</c:v>
                </c:pt>
              </c:strCache>
            </c:strRef>
          </c:cat>
          <c:val>
            <c:numRef>
              <c:f>Arkusz5!$C$8:$C$68</c:f>
              <c:numCache>
                <c:formatCode>General</c:formatCode>
                <c:ptCount val="61"/>
                <c:pt idx="0">
                  <c:v>24.9</c:v>
                </c:pt>
                <c:pt idx="1">
                  <c:v>36</c:v>
                </c:pt>
                <c:pt idx="2">
                  <c:v>37</c:v>
                </c:pt>
                <c:pt idx="3">
                  <c:v>30.9</c:v>
                </c:pt>
                <c:pt idx="4">
                  <c:v>31.5</c:v>
                </c:pt>
                <c:pt idx="5">
                  <c:v>27</c:v>
                </c:pt>
                <c:pt idx="6">
                  <c:v>29.2</c:v>
                </c:pt>
                <c:pt idx="7">
                  <c:v>31.8</c:v>
                </c:pt>
                <c:pt idx="8">
                  <c:v>29.2</c:v>
                </c:pt>
                <c:pt idx="9">
                  <c:v>28.19</c:v>
                </c:pt>
                <c:pt idx="10">
                  <c:v>33.58</c:v>
                </c:pt>
                <c:pt idx="11">
                  <c:v>38.08</c:v>
                </c:pt>
                <c:pt idx="12">
                  <c:v>32.840000000000003</c:v>
                </c:pt>
                <c:pt idx="13">
                  <c:v>44.77</c:v>
                </c:pt>
                <c:pt idx="14">
                  <c:v>33.630000000000003</c:v>
                </c:pt>
                <c:pt idx="15">
                  <c:v>33.619999999999997</c:v>
                </c:pt>
                <c:pt idx="16">
                  <c:v>32.92</c:v>
                </c:pt>
                <c:pt idx="17">
                  <c:v>31.33</c:v>
                </c:pt>
                <c:pt idx="18">
                  <c:v>31.2</c:v>
                </c:pt>
                <c:pt idx="19">
                  <c:v>29.73</c:v>
                </c:pt>
                <c:pt idx="20">
                  <c:v>32.1</c:v>
                </c:pt>
                <c:pt idx="21">
                  <c:v>29.26</c:v>
                </c:pt>
                <c:pt idx="22">
                  <c:v>40.64</c:v>
                </c:pt>
                <c:pt idx="23">
                  <c:v>34.36</c:v>
                </c:pt>
                <c:pt idx="24">
                  <c:v>37.240560000000002</c:v>
                </c:pt>
                <c:pt idx="25">
                  <c:v>41.38</c:v>
                </c:pt>
                <c:pt idx="26">
                  <c:v>38.28</c:v>
                </c:pt>
                <c:pt idx="27">
                  <c:v>37.19</c:v>
                </c:pt>
                <c:pt idx="28">
                  <c:v>35.619999999999997</c:v>
                </c:pt>
                <c:pt idx="29">
                  <c:v>36.14</c:v>
                </c:pt>
                <c:pt idx="30">
                  <c:v>35.47</c:v>
                </c:pt>
                <c:pt idx="31">
                  <c:v>31.97</c:v>
                </c:pt>
                <c:pt idx="32">
                  <c:v>36.380000000000003</c:v>
                </c:pt>
                <c:pt idx="33">
                  <c:v>31.34</c:v>
                </c:pt>
                <c:pt idx="34">
                  <c:v>25.54</c:v>
                </c:pt>
                <c:pt idx="35">
                  <c:v>34.130000000000003</c:v>
                </c:pt>
                <c:pt idx="36">
                  <c:v>36.880000000000003</c:v>
                </c:pt>
                <c:pt idx="37">
                  <c:v>45</c:v>
                </c:pt>
                <c:pt idx="38">
                  <c:v>42.52</c:v>
                </c:pt>
                <c:pt idx="39">
                  <c:v>30.76</c:v>
                </c:pt>
                <c:pt idx="40">
                  <c:v>35.24</c:v>
                </c:pt>
                <c:pt idx="41">
                  <c:v>41.39</c:v>
                </c:pt>
                <c:pt idx="42">
                  <c:v>35.07</c:v>
                </c:pt>
                <c:pt idx="43">
                  <c:v>35.799999999999997</c:v>
                </c:pt>
                <c:pt idx="44">
                  <c:v>39.130000000000003</c:v>
                </c:pt>
                <c:pt idx="45">
                  <c:v>33.6</c:v>
                </c:pt>
                <c:pt idx="46">
                  <c:v>30.6</c:v>
                </c:pt>
                <c:pt idx="47">
                  <c:v>37.36</c:v>
                </c:pt>
                <c:pt idx="48">
                  <c:v>42.87</c:v>
                </c:pt>
                <c:pt idx="49">
                  <c:v>27.82</c:v>
                </c:pt>
                <c:pt idx="50">
                  <c:v>28.69</c:v>
                </c:pt>
                <c:pt idx="51">
                  <c:v>36.1</c:v>
                </c:pt>
                <c:pt idx="52">
                  <c:v>38.75</c:v>
                </c:pt>
                <c:pt idx="53">
                  <c:v>32.659999999999997</c:v>
                </c:pt>
                <c:pt idx="54">
                  <c:v>37.700000000000003</c:v>
                </c:pt>
                <c:pt idx="55">
                  <c:v>38.44</c:v>
                </c:pt>
                <c:pt idx="56">
                  <c:v>31.72</c:v>
                </c:pt>
                <c:pt idx="57">
                  <c:v>33.590000000000003</c:v>
                </c:pt>
                <c:pt idx="58">
                  <c:v>37.46</c:v>
                </c:pt>
                <c:pt idx="59">
                  <c:v>47.14</c:v>
                </c:pt>
                <c:pt idx="60">
                  <c:v>56.07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686-4202-9280-EB564EADF6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13897119"/>
        <c:axId val="913900031"/>
      </c:lineChart>
      <c:catAx>
        <c:axId val="9138971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13900031"/>
        <c:crosses val="autoZero"/>
        <c:auto val="1"/>
        <c:lblAlgn val="ctr"/>
        <c:lblOffset val="100"/>
        <c:noMultiLvlLbl val="0"/>
      </c:catAx>
      <c:valAx>
        <c:axId val="913900031"/>
        <c:scaling>
          <c:orientation val="minMax"/>
          <c:min val="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91389711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b="1">
          <a:solidFill>
            <a:sysClr val="windowText" lastClr="000000"/>
          </a:solidFill>
        </a:defRPr>
      </a:pPr>
      <a:endParaRPr lang="pl-PL"/>
    </a:p>
  </c:txPr>
  <c:externalData r:id="rId3">
    <c:autoUpdate val="0"/>
  </c:externalData>
  <c:userShapes r:id="rId4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1789370078740158E-2"/>
          <c:y val="0.17592592592592593"/>
          <c:w val="0.89765507436570424"/>
          <c:h val="0.59072930852640426"/>
        </c:manualLayout>
      </c:layout>
      <c:barChart>
        <c:barDir val="col"/>
        <c:grouping val="clustered"/>
        <c:varyColors val="0"/>
        <c:ser>
          <c:idx val="1"/>
          <c:order val="1"/>
          <c:tx>
            <c:v>Rata kredytu (prawa oś)</c:v>
          </c:tx>
          <c:spPr>
            <a:solidFill>
              <a:srgbClr val="D08C5F"/>
            </a:solidFill>
            <a:ln>
              <a:solidFill>
                <a:srgbClr val="D08C5F"/>
              </a:solidFill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'2021 03 18'!$A$3:$A$22</c:f>
              <c:numCache>
                <c:formatCode>General</c:formatCode>
                <c:ptCount val="2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  <c:pt idx="10" formatCode="mmm\-yy">
                  <c:v>44652</c:v>
                </c:pt>
                <c:pt idx="11" formatCode="mmm\-yy">
                  <c:v>45017</c:v>
                </c:pt>
                <c:pt idx="12" formatCode="mmm\-yy">
                  <c:v>45383</c:v>
                </c:pt>
                <c:pt idx="13" formatCode="mmm\-yy">
                  <c:v>45748</c:v>
                </c:pt>
                <c:pt idx="14" formatCode="mmm\-yy">
                  <c:v>46113</c:v>
                </c:pt>
                <c:pt idx="15" formatCode="mmm\-yy">
                  <c:v>46478</c:v>
                </c:pt>
                <c:pt idx="16" formatCode="mmm\-yy">
                  <c:v>46844</c:v>
                </c:pt>
                <c:pt idx="17" formatCode="mmm\-yy">
                  <c:v>47209</c:v>
                </c:pt>
                <c:pt idx="18" formatCode="mmm\-yy">
                  <c:v>47574</c:v>
                </c:pt>
                <c:pt idx="19" formatCode="mmm\-yy">
                  <c:v>47939</c:v>
                </c:pt>
              </c:numCache>
            </c:numRef>
          </c:cat>
          <c:val>
            <c:numRef>
              <c:f>'2021 03 18'!$O$3:$O$22</c:f>
              <c:numCache>
                <c:formatCode>"zł"#,##0_);[Red]\("zł"#,##0\)</c:formatCode>
                <c:ptCount val="20"/>
                <c:pt idx="0">
                  <c:v>2219.4505778453286</c:v>
                </c:pt>
                <c:pt idx="1">
                  <c:v>1864.1187135513633</c:v>
                </c:pt>
                <c:pt idx="2">
                  <c:v>1774.2900386071153</c:v>
                </c:pt>
                <c:pt idx="3">
                  <c:v>1640.9752499313104</c:v>
                </c:pt>
                <c:pt idx="4">
                  <c:v>1633.6983543724273</c:v>
                </c:pt>
                <c:pt idx="5">
                  <c:v>1638.5814138545209</c:v>
                </c:pt>
                <c:pt idx="6">
                  <c:v>1635.3966512531729</c:v>
                </c:pt>
                <c:pt idx="7">
                  <c:v>1636.6011687555533</c:v>
                </c:pt>
                <c:pt idx="8">
                  <c:v>1465.12017313042</c:v>
                </c:pt>
                <c:pt idx="9">
                  <c:v>1387.9672188090408</c:v>
                </c:pt>
                <c:pt idx="10">
                  <c:v>1400.8852336076357</c:v>
                </c:pt>
                <c:pt idx="11">
                  <c:v>1477.0478502419949</c:v>
                </c:pt>
                <c:pt idx="12">
                  <c:v>1562.8782458634569</c:v>
                </c:pt>
                <c:pt idx="13">
                  <c:v>1650.515153817606</c:v>
                </c:pt>
                <c:pt idx="14">
                  <c:v>1709.4894423531459</c:v>
                </c:pt>
                <c:pt idx="15">
                  <c:v>1719.8560033607337</c:v>
                </c:pt>
                <c:pt idx="16">
                  <c:v>1723.7518094706984</c:v>
                </c:pt>
                <c:pt idx="17">
                  <c:v>1736.7706043612461</c:v>
                </c:pt>
                <c:pt idx="18">
                  <c:v>1755.0812828762355</c:v>
                </c:pt>
                <c:pt idx="19">
                  <c:v>1785.8162247324656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B84-42D3-B3C8-1B641DCA10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981348400"/>
        <c:axId val="1981354640"/>
      </c:barChart>
      <c:lineChart>
        <c:grouping val="standard"/>
        <c:varyColors val="0"/>
        <c:ser>
          <c:idx val="0"/>
          <c:order val="0"/>
          <c:tx>
            <c:v>Poziom stawki WIBOR 3M (lewa oś)</c:v>
          </c:tx>
          <c:spPr>
            <a:ln w="28575" cap="rnd">
              <a:solidFill>
                <a:srgbClr val="222839"/>
              </a:solidFill>
              <a:round/>
            </a:ln>
            <a:effectLst/>
          </c:spPr>
          <c:marker>
            <c:symbol val="none"/>
          </c:marker>
          <c:cat>
            <c:numRef>
              <c:f>'2021 03 18'!$A$3:$A$22</c:f>
              <c:numCache>
                <c:formatCode>General</c:formatCode>
                <c:ptCount val="20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  <c:pt idx="9">
                  <c:v>2021</c:v>
                </c:pt>
                <c:pt idx="10" formatCode="mmm\-yy">
                  <c:v>44652</c:v>
                </c:pt>
                <c:pt idx="11" formatCode="mmm\-yy">
                  <c:v>45017</c:v>
                </c:pt>
                <c:pt idx="12" formatCode="mmm\-yy">
                  <c:v>45383</c:v>
                </c:pt>
                <c:pt idx="13" formatCode="mmm\-yy">
                  <c:v>45748</c:v>
                </c:pt>
                <c:pt idx="14" formatCode="mmm\-yy">
                  <c:v>46113</c:v>
                </c:pt>
                <c:pt idx="15" formatCode="mmm\-yy">
                  <c:v>46478</c:v>
                </c:pt>
                <c:pt idx="16" formatCode="mmm\-yy">
                  <c:v>46844</c:v>
                </c:pt>
                <c:pt idx="17" formatCode="mmm\-yy">
                  <c:v>47209</c:v>
                </c:pt>
                <c:pt idx="18" formatCode="mmm\-yy">
                  <c:v>47574</c:v>
                </c:pt>
                <c:pt idx="19" formatCode="mmm\-yy">
                  <c:v>47939</c:v>
                </c:pt>
              </c:numCache>
            </c:numRef>
          </c:cat>
          <c:val>
            <c:numRef>
              <c:f>'2021 03 18'!$M$3:$M$22</c:f>
              <c:numCache>
                <c:formatCode>0.00%</c:formatCode>
                <c:ptCount val="20"/>
                <c:pt idx="0">
                  <c:v>4.9126907630522132E-2</c:v>
                </c:pt>
                <c:pt idx="1">
                  <c:v>3.0216399999999956E-2</c:v>
                </c:pt>
                <c:pt idx="2">
                  <c:v>2.5170517928286805E-2</c:v>
                </c:pt>
                <c:pt idx="3">
                  <c:v>1.7435856573705288E-2</c:v>
                </c:pt>
                <c:pt idx="4">
                  <c:v>1.7004365079365098E-2</c:v>
                </c:pt>
                <c:pt idx="5">
                  <c:v>1.7294023904382522E-2</c:v>
                </c:pt>
                <c:pt idx="6">
                  <c:v>1.7105158730158755E-2</c:v>
                </c:pt>
                <c:pt idx="7">
                  <c:v>1.7176612903225821E-2</c:v>
                </c:pt>
                <c:pt idx="8">
                  <c:v>6.6999999999999959E-3</c:v>
                </c:pt>
                <c:pt idx="9">
                  <c:v>1.7624999999999997E-3</c:v>
                </c:pt>
                <c:pt idx="10">
                  <c:v>2.5999999999999999E-3</c:v>
                </c:pt>
                <c:pt idx="11">
                  <c:v>7.4499999999999992E-3</c:v>
                </c:pt>
                <c:pt idx="12">
                  <c:v>1.2750000000000004E-2</c:v>
                </c:pt>
                <c:pt idx="13">
                  <c:v>1.7999999999999999E-2</c:v>
                </c:pt>
                <c:pt idx="14">
                  <c:v>2.1450000000000004E-2</c:v>
                </c:pt>
                <c:pt idx="15">
                  <c:v>2.2049999999999993E-2</c:v>
                </c:pt>
                <c:pt idx="16">
                  <c:v>2.2274999999999993E-2</c:v>
                </c:pt>
                <c:pt idx="17">
                  <c:v>2.3025000000000021E-2</c:v>
                </c:pt>
                <c:pt idx="18">
                  <c:v>2.4074999999999989E-2</c:v>
                </c:pt>
                <c:pt idx="19">
                  <c:v>2.5824999999999997E-2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B84-42D3-B3C8-1B641DCA10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10635312"/>
        <c:axId val="651632544"/>
      </c:lineChart>
      <c:catAx>
        <c:axId val="610635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51632544"/>
        <c:crosses val="autoZero"/>
        <c:auto val="1"/>
        <c:lblAlgn val="ctr"/>
        <c:lblOffset val="100"/>
        <c:noMultiLvlLbl val="0"/>
      </c:catAx>
      <c:valAx>
        <c:axId val="651632544"/>
        <c:scaling>
          <c:orientation val="minMax"/>
          <c:max val="0.1200000000000000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610635312"/>
        <c:crosses val="autoZero"/>
        <c:crossBetween val="between"/>
        <c:majorUnit val="2.0000000000000004E-2"/>
      </c:valAx>
      <c:valAx>
        <c:axId val="1981354640"/>
        <c:scaling>
          <c:orientation val="minMax"/>
          <c:max val="3000"/>
        </c:scaling>
        <c:delete val="0"/>
        <c:axPos val="r"/>
        <c:numFmt formatCode="&quot;zł&quot;#,##0_);[Red]\(&quot;zł&quot;#,##0\)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981348400"/>
        <c:crosses val="max"/>
        <c:crossBetween val="between"/>
      </c:valAx>
      <c:catAx>
        <c:axId val="198134840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98135464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81566872486263"/>
          <c:y val="0.87449355542369622"/>
          <c:w val="0.76368662550274746"/>
          <c:h val="6.072914417454847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pl-PL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0.14907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0" y="0"/>
          <a:ext cx="7810500" cy="68580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ctr"/>
        <a:lstStyle xmlns:a="http://schemas.openxmlformats.org/drawingml/2006/main"/>
        <a:p xmlns:a="http://schemas.openxmlformats.org/drawingml/2006/main">
          <a:pPr algn="ctr"/>
          <a:r>
            <a:rPr lang="pl-PL" sz="1400" b="1"/>
            <a:t>Popyt na kredyt</a:t>
          </a:r>
          <a:r>
            <a:rPr lang="pl-PL" sz="1400" b="1" baseline="0"/>
            <a:t>y mieszkaniowe </a:t>
          </a:r>
        </a:p>
        <a:p xmlns:a="http://schemas.openxmlformats.org/drawingml/2006/main">
          <a:pPr algn="ctr"/>
          <a:r>
            <a:rPr lang="pl-PL" sz="1400" b="0" baseline="0"/>
            <a:t>(zmiana r/r)</a:t>
          </a:r>
          <a:endParaRPr lang="pl-PL" sz="1400" b="0"/>
        </a:p>
      </cdr:txBody>
    </cdr:sp>
  </cdr:relSizeAnchor>
  <cdr:relSizeAnchor xmlns:cdr="http://schemas.openxmlformats.org/drawingml/2006/chartDrawing">
    <cdr:from>
      <cdr:x>0</cdr:x>
      <cdr:y>0.93312</cdr:y>
    </cdr:from>
    <cdr:to>
      <cdr:x>1</cdr:x>
      <cdr:y>1</cdr:y>
    </cdr:to>
    <cdr:sp macro="" textlink="">
      <cdr:nvSpPr>
        <cdr:cNvPr id="3" name="pole tekstowe 2"/>
        <cdr:cNvSpPr txBox="1"/>
      </cdr:nvSpPr>
      <cdr:spPr>
        <a:xfrm xmlns:a="http://schemas.openxmlformats.org/drawingml/2006/main">
          <a:off x="0" y="3148716"/>
          <a:ext cx="5760720" cy="22567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l-PL" sz="900"/>
            <a:t>Opracowanie</a:t>
          </a:r>
          <a:r>
            <a:rPr lang="pl-PL" sz="900" baseline="0"/>
            <a:t> HRE Investments na podstawie danych BIK (indeks PKM)</a:t>
          </a:r>
          <a:endParaRPr lang="pl-PL" sz="9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0.00223</cdr:x>
      <cdr:y>0.93111</cdr:y>
    </cdr:from>
    <cdr:to>
      <cdr:x>0.99444</cdr:x>
      <cdr:y>0.99344</cdr:y>
    </cdr:to>
    <cdr:sp macro="" textlink="">
      <cdr:nvSpPr>
        <cdr:cNvPr id="2" name="pole tekstowe 1">
          <a:extLst xmlns:a="http://schemas.openxmlformats.org/drawingml/2006/main">
            <a:ext uri="{FF2B5EF4-FFF2-40B4-BE49-F238E27FC236}">
              <a16:creationId xmlns:a16="http://schemas.microsoft.com/office/drawing/2014/main" id="{5F9147E3-94E3-41A5-A052-D01B3D9D6555}"/>
            </a:ext>
          </a:extLst>
        </cdr:cNvPr>
        <cdr:cNvSpPr txBox="1"/>
      </cdr:nvSpPr>
      <cdr:spPr>
        <a:xfrm xmlns:a="http://schemas.openxmlformats.org/drawingml/2006/main">
          <a:off x="14288" y="3379448"/>
          <a:ext cx="6369844" cy="2262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l-PL" sz="1100"/>
            <a:t>Szacunki HRE Investments</a:t>
          </a:r>
          <a:r>
            <a:rPr lang="pl-PL" sz="1100" baseline="0"/>
            <a:t> oparte o dane BIK</a:t>
          </a:r>
          <a:endParaRPr lang="pl-PL" sz="1100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0.00417</cdr:x>
      <cdr:y>0</cdr:y>
    </cdr:from>
    <cdr:to>
      <cdr:x>0.98542</cdr:x>
      <cdr:y>0.20139</cdr:y>
    </cdr:to>
    <cdr:sp macro="" textlink="">
      <cdr:nvSpPr>
        <cdr:cNvPr id="2" name="pole tekstowe 1">
          <a:extLst xmlns:a="http://schemas.openxmlformats.org/drawingml/2006/main">
            <a:ext uri="{FF2B5EF4-FFF2-40B4-BE49-F238E27FC236}">
              <a16:creationId xmlns:a16="http://schemas.microsoft.com/office/drawing/2014/main" id="{B8B67394-869E-484F-B2D9-99E319B91E87}"/>
            </a:ext>
          </a:extLst>
        </cdr:cNvPr>
        <cdr:cNvSpPr txBox="1"/>
      </cdr:nvSpPr>
      <cdr:spPr>
        <a:xfrm xmlns:a="http://schemas.openxmlformats.org/drawingml/2006/main">
          <a:off x="19050" y="-4762"/>
          <a:ext cx="4486275" cy="552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ctr"/>
        <a:lstStyle xmlns:a="http://schemas.openxmlformats.org/drawingml/2006/main"/>
        <a:p xmlns:a="http://schemas.openxmlformats.org/drawingml/2006/main"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en-US" sz="1400" b="1" i="0" baseline="0">
              <a:effectLst/>
              <a:latin typeface="+mn-lt"/>
              <a:ea typeface="+mn-ea"/>
              <a:cs typeface="+mn-cs"/>
            </a:rPr>
            <a:t>Liczba kredytobiorców wioskujących o kredyt </a:t>
          </a:r>
          <a:r>
            <a:rPr lang="pl-PL" sz="1400" b="0" i="0" baseline="0">
              <a:effectLst/>
              <a:latin typeface="+mn-lt"/>
              <a:ea typeface="+mn-ea"/>
              <a:cs typeface="+mn-cs"/>
            </a:rPr>
            <a:t>(</a:t>
          </a:r>
          <a:r>
            <a:rPr lang="en-US" sz="1400" b="0" i="0" baseline="0">
              <a:effectLst/>
              <a:latin typeface="+mn-lt"/>
              <a:ea typeface="+mn-ea"/>
              <a:cs typeface="+mn-cs"/>
            </a:rPr>
            <a:t>w tys.)</a:t>
          </a:r>
          <a:endParaRPr lang="pl-PL" sz="1400" b="0">
            <a:effectLst/>
          </a:endParaRPr>
        </a:p>
      </cdr:txBody>
    </cdr:sp>
  </cdr:relSizeAnchor>
  <cdr:relSizeAnchor xmlns:cdr="http://schemas.openxmlformats.org/drawingml/2006/chartDrawing">
    <cdr:from>
      <cdr:x>0.00186</cdr:x>
      <cdr:y>0.92458</cdr:y>
    </cdr:from>
    <cdr:to>
      <cdr:x>1</cdr:x>
      <cdr:y>1</cdr:y>
    </cdr:to>
    <cdr:sp macro="" textlink="">
      <cdr:nvSpPr>
        <cdr:cNvPr id="3" name="pole tekstowe 2">
          <a:extLst xmlns:a="http://schemas.openxmlformats.org/drawingml/2006/main">
            <a:ext uri="{FF2B5EF4-FFF2-40B4-BE49-F238E27FC236}">
              <a16:creationId xmlns:a16="http://schemas.microsoft.com/office/drawing/2014/main" id="{BD947890-870B-4A18-B4C5-A2954806ECB7}"/>
            </a:ext>
          </a:extLst>
        </cdr:cNvPr>
        <cdr:cNvSpPr txBox="1"/>
      </cdr:nvSpPr>
      <cdr:spPr>
        <a:xfrm xmlns:a="http://schemas.openxmlformats.org/drawingml/2006/main">
          <a:off x="9525" y="2919412"/>
          <a:ext cx="5105400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l-PL" sz="900"/>
            <a:t>Opracowanie</a:t>
          </a:r>
          <a:r>
            <a:rPr lang="pl-PL" sz="900" baseline="0"/>
            <a:t> HRE Investments na podastawie danych BIK</a:t>
          </a:r>
          <a:endParaRPr lang="pl-PL" sz="900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</cdr:x>
      <cdr:y>3.0924E-7</cdr:y>
    </cdr:from>
    <cdr:to>
      <cdr:x>1</cdr:x>
      <cdr:y>0.17231</cdr:y>
    </cdr:to>
    <cdr:sp macro="" textlink="">
      <cdr:nvSpPr>
        <cdr:cNvPr id="2" name="pole tekstowe 1">
          <a:extLst xmlns:a="http://schemas.openxmlformats.org/drawingml/2006/main">
            <a:ext uri="{FF2B5EF4-FFF2-40B4-BE49-F238E27FC236}">
              <a16:creationId xmlns:a16="http://schemas.microsoft.com/office/drawing/2014/main" id="{B3126E27-B422-4FD9-B9F8-486B31925E8E}"/>
            </a:ext>
          </a:extLst>
        </cdr:cNvPr>
        <cdr:cNvSpPr txBox="1"/>
      </cdr:nvSpPr>
      <cdr:spPr>
        <a:xfrm xmlns:a="http://schemas.openxmlformats.org/drawingml/2006/main">
          <a:off x="0" y="1"/>
          <a:ext cx="5248275" cy="55721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 anchor="ctr"/>
        <a:lstStyle xmlns:a="http://schemas.openxmlformats.org/drawingml/2006/main"/>
        <a:p xmlns:a="http://schemas.openxmlformats.org/drawingml/2006/main">
          <a:pPr algn="ctr"/>
          <a:r>
            <a:rPr lang="pl-PL" sz="1400" b="1" baseline="0"/>
            <a:t>Potencjalne zmiany rat kredytu zaciągniętego na zakup mieszkania</a:t>
          </a:r>
        </a:p>
        <a:p xmlns:a="http://schemas.openxmlformats.org/drawingml/2006/main">
          <a:pPr algn="ctr"/>
          <a:r>
            <a:rPr lang="pl-PL" sz="1400" b="0" baseline="0"/>
            <a:t>(kwota 300 tys. zł na 25 lat, marża 2,6%)</a:t>
          </a:r>
          <a:endParaRPr lang="pl-PL" sz="1400" b="0"/>
        </a:p>
      </cdr:txBody>
    </cdr:sp>
  </cdr:relSizeAnchor>
  <cdr:relSizeAnchor xmlns:cdr="http://schemas.openxmlformats.org/drawingml/2006/chartDrawing">
    <cdr:from>
      <cdr:x>0.0018</cdr:x>
      <cdr:y>0.93522</cdr:y>
    </cdr:from>
    <cdr:to>
      <cdr:x>0.99091</cdr:x>
      <cdr:y>1</cdr:y>
    </cdr:to>
    <cdr:sp macro="" textlink="">
      <cdr:nvSpPr>
        <cdr:cNvPr id="3" name="pole tekstowe 2">
          <a:extLst xmlns:a="http://schemas.openxmlformats.org/drawingml/2006/main">
            <a:ext uri="{FF2B5EF4-FFF2-40B4-BE49-F238E27FC236}">
              <a16:creationId xmlns:a16="http://schemas.microsoft.com/office/drawing/2014/main" id="{26A197A5-29E0-4F27-9C81-AA3F34A02D78}"/>
            </a:ext>
          </a:extLst>
        </cdr:cNvPr>
        <cdr:cNvSpPr txBox="1"/>
      </cdr:nvSpPr>
      <cdr:spPr>
        <a:xfrm xmlns:a="http://schemas.openxmlformats.org/drawingml/2006/main">
          <a:off x="9526" y="3300415"/>
          <a:ext cx="5238227" cy="22859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pl-PL" sz="900"/>
            <a:t>Szacunki HRE Investments</a:t>
          </a:r>
          <a:r>
            <a:rPr lang="pl-PL" sz="900" baseline="0"/>
            <a:t> na podstawie danych NBP i notowań kontraktów IRS z 7.04.2021</a:t>
          </a:r>
          <a:endParaRPr lang="pl-PL" sz="900"/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1020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Turek</dc:creator>
  <cp:keywords/>
  <dc:description/>
  <cp:lastModifiedBy>Bartosz Turek</cp:lastModifiedBy>
  <cp:revision>11</cp:revision>
  <dcterms:created xsi:type="dcterms:W3CDTF">2021-04-07T06:59:00Z</dcterms:created>
  <dcterms:modified xsi:type="dcterms:W3CDTF">2021-04-07T09:08:00Z</dcterms:modified>
</cp:coreProperties>
</file>